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hint="eastAsia" w:eastAsia="黑体"/>
          <w:color w:val="000000"/>
        </w:rPr>
        <w:t>1</w:t>
      </w:r>
    </w:p>
    <w:p>
      <w:pPr>
        <w:spacing w:line="592" w:lineRule="exact"/>
        <w:rPr>
          <w:rFonts w:eastAsia="黑体"/>
          <w:color w:val="000000"/>
        </w:rPr>
      </w:pPr>
    </w:p>
    <w:p>
      <w:pPr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sz w:val="44"/>
          <w:szCs w:val="36"/>
        </w:rPr>
        <w:t>工业互联网项目</w:t>
      </w:r>
      <w:r>
        <w:rPr>
          <w:rFonts w:eastAsia="方正小标宋简体"/>
          <w:color w:val="000000"/>
          <w:kern w:val="0"/>
          <w:sz w:val="44"/>
          <w:szCs w:val="44"/>
        </w:rPr>
        <w:t>诚实信用承诺书</w:t>
      </w:r>
    </w:p>
    <w:p>
      <w:pPr>
        <w:spacing w:line="592" w:lineRule="exact"/>
        <w:rPr>
          <w:rFonts w:eastAsia="宋体"/>
          <w:color w:val="000000"/>
          <w:kern w:val="0"/>
          <w:sz w:val="21"/>
          <w:szCs w:val="21"/>
        </w:rPr>
      </w:pPr>
    </w:p>
    <w:p>
      <w:pPr>
        <w:spacing w:line="592" w:lineRule="exact"/>
        <w:rPr>
          <w:color w:val="000000"/>
          <w:kern w:val="0"/>
          <w:sz w:val="21"/>
          <w:szCs w:val="21"/>
        </w:rPr>
      </w:pPr>
      <w:r>
        <w:rPr>
          <w:color w:val="000000"/>
          <w:kern w:val="0"/>
        </w:rPr>
        <w:t>合肥市经济和信息化局：</w:t>
      </w:r>
    </w:p>
    <w:p>
      <w:pPr>
        <w:spacing w:line="592" w:lineRule="exact"/>
        <w:ind w:firstLine="640" w:firstLineChars="200"/>
        <w:rPr>
          <w:color w:val="000000"/>
          <w:kern w:val="0"/>
        </w:rPr>
      </w:pPr>
      <w:r>
        <w:rPr>
          <w:color w:val="000000"/>
          <w:kern w:val="0"/>
        </w:rPr>
        <w:t>本单位本着诚实信用的原则郑重承诺：申报</w:t>
      </w:r>
      <w:r>
        <w:rPr>
          <w:rFonts w:hint="eastAsia"/>
          <w:color w:val="000000"/>
          <w:kern w:val="0"/>
        </w:rPr>
        <w:t>工业互联网创新应用示范</w:t>
      </w:r>
      <w:r>
        <w:rPr>
          <w:color w:val="000000"/>
          <w:kern w:val="0"/>
        </w:rPr>
        <w:t>项目所报送的所有信息及材料均真实、准确、合规。</w:t>
      </w:r>
    </w:p>
    <w:p>
      <w:pPr>
        <w:spacing w:line="592" w:lineRule="exact"/>
        <w:ind w:firstLine="640" w:firstLineChars="200"/>
        <w:rPr>
          <w:color w:val="000000"/>
          <w:kern w:val="0"/>
          <w:sz w:val="21"/>
          <w:szCs w:val="21"/>
        </w:rPr>
      </w:pPr>
      <w:r>
        <w:rPr>
          <w:color w:val="000000"/>
          <w:kern w:val="0"/>
        </w:rPr>
        <w:t>如有不实之处，或违反相关规定，本单位愿意接受合肥市失信联合惩戒制度等相关规定的处理。</w:t>
      </w:r>
    </w:p>
    <w:p>
      <w:pPr>
        <w:spacing w:line="592" w:lineRule="exact"/>
        <w:ind w:firstLine="640" w:firstLineChars="200"/>
        <w:rPr>
          <w:color w:val="000000"/>
          <w:kern w:val="0"/>
          <w:sz w:val="21"/>
          <w:szCs w:val="21"/>
        </w:rPr>
      </w:pPr>
      <w:r>
        <w:rPr>
          <w:color w:val="000000"/>
          <w:kern w:val="0"/>
        </w:rPr>
        <w:t>特此承诺。</w:t>
      </w:r>
    </w:p>
    <w:p>
      <w:pPr>
        <w:spacing w:line="592" w:lineRule="exact"/>
        <w:rPr>
          <w:color w:val="000000"/>
          <w:kern w:val="0"/>
        </w:rPr>
      </w:pPr>
    </w:p>
    <w:p>
      <w:pPr>
        <w:spacing w:line="592" w:lineRule="exact"/>
        <w:jc w:val="right"/>
        <w:rPr>
          <w:color w:val="000000"/>
          <w:kern w:val="0"/>
        </w:rPr>
      </w:pPr>
      <w:r>
        <w:rPr>
          <w:color w:val="000000"/>
          <w:kern w:val="0"/>
        </w:rPr>
        <w:t xml:space="preserve">单位名称（公章）                        </w:t>
      </w:r>
    </w:p>
    <w:p>
      <w:pPr>
        <w:spacing w:line="592" w:lineRule="exact"/>
        <w:jc w:val="right"/>
        <w:rPr>
          <w:color w:val="000000"/>
          <w:kern w:val="0"/>
          <w:sz w:val="21"/>
          <w:szCs w:val="21"/>
        </w:rPr>
      </w:pPr>
      <w:r>
        <w:rPr>
          <w:color w:val="000000"/>
          <w:kern w:val="0"/>
        </w:rPr>
        <w:t xml:space="preserve">统一社会信用代码：      </w:t>
      </w:r>
    </w:p>
    <w:p>
      <w:pPr>
        <w:spacing w:line="592" w:lineRule="exact"/>
        <w:jc w:val="right"/>
        <w:rPr>
          <w:color w:val="000000"/>
          <w:kern w:val="0"/>
          <w:sz w:val="21"/>
          <w:szCs w:val="21"/>
        </w:rPr>
      </w:pPr>
      <w:r>
        <w:rPr>
          <w:color w:val="000000"/>
          <w:kern w:val="0"/>
        </w:rPr>
        <w:t xml:space="preserve">法人代表签字：        </w:t>
      </w:r>
    </w:p>
    <w:p>
      <w:pPr>
        <w:spacing w:line="592" w:lineRule="exact"/>
        <w:jc w:val="right"/>
        <w:rPr>
          <w:color w:val="000000"/>
          <w:kern w:val="0"/>
          <w:sz w:val="21"/>
          <w:szCs w:val="21"/>
        </w:rPr>
      </w:pPr>
      <w:r>
        <w:rPr>
          <w:color w:val="000000"/>
          <w:kern w:val="0"/>
        </w:rPr>
        <w:t xml:space="preserve">年  月  日        </w:t>
      </w:r>
    </w:p>
    <w:p>
      <w:pPr>
        <w:spacing w:line="592" w:lineRule="exact"/>
        <w:rPr>
          <w:color w:val="000000"/>
        </w:rPr>
      </w:pPr>
    </w:p>
    <w:p>
      <w:pPr>
        <w:spacing w:line="592" w:lineRule="exact"/>
        <w:rPr>
          <w:rFonts w:eastAsia="黑体"/>
          <w:color w:val="000000"/>
        </w:rPr>
      </w:pPr>
    </w:p>
    <w:p>
      <w:pPr>
        <w:spacing w:line="592" w:lineRule="exact"/>
        <w:ind w:right="-509" w:rightChars="-159"/>
        <w:rPr>
          <w:rFonts w:eastAsia="黑体"/>
          <w:color w:val="000000"/>
        </w:rPr>
      </w:pPr>
      <w:r>
        <w:rPr>
          <w:rFonts w:eastAsia="黑体"/>
          <w:color w:val="000000"/>
        </w:rPr>
        <w:br w:type="page"/>
      </w:r>
    </w:p>
    <w:p>
      <w:pPr>
        <w:spacing w:line="592" w:lineRule="exact"/>
        <w:ind w:right="-509" w:rightChars="-159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hint="eastAsia" w:eastAsia="黑体"/>
          <w:color w:val="000000"/>
        </w:rPr>
        <w:t>2</w:t>
      </w:r>
    </w:p>
    <w:p>
      <w:pPr>
        <w:spacing w:line="592" w:lineRule="exact"/>
        <w:ind w:firstLine="440" w:firstLineChars="100"/>
        <w:rPr>
          <w:rFonts w:eastAsia="方正小标宋简体"/>
          <w:color w:val="000000"/>
          <w:sz w:val="44"/>
          <w:szCs w:val="36"/>
        </w:rPr>
      </w:pPr>
    </w:p>
    <w:p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  <w:r>
        <w:rPr>
          <w:rFonts w:eastAsia="方正小标宋简体"/>
          <w:color w:val="000000"/>
          <w:sz w:val="44"/>
          <w:szCs w:val="36"/>
        </w:rPr>
        <w:t>工业互联网</w:t>
      </w:r>
      <w:r>
        <w:rPr>
          <w:rFonts w:hint="eastAsia" w:eastAsia="方正小标宋简体"/>
          <w:color w:val="000000"/>
          <w:sz w:val="44"/>
          <w:szCs w:val="36"/>
        </w:rPr>
        <w:t>创新应用示范</w:t>
      </w:r>
      <w:r>
        <w:rPr>
          <w:rFonts w:eastAsia="方正小标宋简体"/>
          <w:color w:val="000000"/>
          <w:sz w:val="44"/>
          <w:szCs w:val="36"/>
        </w:rPr>
        <w:t>项目要素条件</w:t>
      </w:r>
    </w:p>
    <w:p>
      <w:pPr>
        <w:spacing w:line="592" w:lineRule="exact"/>
        <w:ind w:firstLine="640" w:firstLineChars="200"/>
        <w:outlineLvl w:val="2"/>
      </w:pPr>
    </w:p>
    <w:p>
      <w:pPr>
        <w:spacing w:line="592" w:lineRule="exact"/>
        <w:ind w:firstLine="640" w:firstLineChars="200"/>
        <w:outlineLvl w:val="2"/>
      </w:pPr>
      <w:r>
        <w:t>申报项目具体支持</w:t>
      </w:r>
      <w:r>
        <w:rPr>
          <w:rFonts w:hint="eastAsia"/>
        </w:rPr>
        <w:t>以下2大类、共</w:t>
      </w:r>
      <w:r>
        <w:t>12</w:t>
      </w:r>
      <w:r>
        <w:rPr>
          <w:rFonts w:hint="eastAsia"/>
        </w:rPr>
        <w:t>个方向</w:t>
      </w:r>
      <w:r>
        <w:t>。</w:t>
      </w:r>
    </w:p>
    <w:p>
      <w:pPr>
        <w:spacing w:line="592" w:lineRule="exact"/>
        <w:ind w:firstLine="640" w:firstLineChars="200"/>
        <w:outlineLvl w:val="2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</w:t>
      </w:r>
      <w:r>
        <w:rPr>
          <w:rFonts w:ascii="黑体" w:hAnsi="黑体" w:eastAsia="黑体"/>
          <w:szCs w:val="24"/>
        </w:rPr>
        <w:t>平台</w:t>
      </w:r>
      <w:r>
        <w:rPr>
          <w:rFonts w:hint="eastAsia" w:ascii="黑体" w:hAnsi="黑体" w:eastAsia="黑体"/>
        </w:rPr>
        <w:t>应用</w:t>
      </w:r>
      <w:r>
        <w:rPr>
          <w:rFonts w:ascii="黑体" w:hAnsi="黑体" w:eastAsia="黑体"/>
          <w:szCs w:val="24"/>
        </w:rPr>
        <w:t>示范</w:t>
      </w:r>
    </w:p>
    <w:p>
      <w:pPr>
        <w:tabs>
          <w:tab w:val="left" w:pos="0"/>
        </w:tabs>
        <w:autoSpaceDE w:val="0"/>
        <w:autoSpaceDN w:val="0"/>
        <w:adjustRightInd w:val="0"/>
        <w:spacing w:line="592" w:lineRule="exact"/>
        <w:ind w:firstLine="641"/>
        <w:outlineLvl w:val="1"/>
        <w:rPr>
          <w:rFonts w:eastAsia="楷体_GB2312"/>
          <w:kern w:val="0"/>
        </w:rPr>
      </w:pPr>
      <w:r>
        <w:rPr>
          <w:rFonts w:eastAsia="楷体_GB2312"/>
          <w:b/>
          <w:kern w:val="0"/>
          <w:lang w:val="zh-CN"/>
        </w:rPr>
        <w:t>（一）工业互联网平台+安全生产</w:t>
      </w:r>
      <w:r>
        <w:rPr>
          <w:rFonts w:hint="eastAsia" w:eastAsia="楷体_GB2312"/>
          <w:b/>
          <w:kern w:val="0"/>
          <w:lang w:val="zh-CN"/>
        </w:rPr>
        <w:t>解决方案</w:t>
      </w:r>
    </w:p>
    <w:p>
      <w:pPr>
        <w:spacing w:line="592" w:lineRule="exact"/>
        <w:ind w:firstLine="642" w:firstLineChars="200"/>
        <w:rPr>
          <w:color w:val="0D0D0D"/>
        </w:rPr>
      </w:pPr>
      <w:r>
        <w:rPr>
          <w:rFonts w:hint="eastAsia"/>
          <w:b/>
        </w:rPr>
        <w:t>重点方向</w:t>
      </w:r>
      <w:r>
        <w:rPr>
          <w:rFonts w:eastAsia="楷体_GB2312"/>
          <w:b/>
          <w:color w:val="000000"/>
        </w:rPr>
        <w:t>——</w:t>
      </w:r>
      <w:r>
        <w:rPr>
          <w:color w:val="0D0D0D"/>
        </w:rPr>
        <w:t>重点面向化工、钢铁、矿山、建材、民爆等行业，着力解决企业在人员、设备、生产、仓储、物流、环境等方面可能存在的安全生产问题。</w:t>
      </w:r>
    </w:p>
    <w:p>
      <w:pPr>
        <w:spacing w:line="592" w:lineRule="exact"/>
        <w:ind w:firstLine="642" w:firstLineChars="200"/>
        <w:rPr>
          <w:b/>
        </w:rPr>
      </w:pPr>
      <w:r>
        <w:rPr>
          <w:rFonts w:hint="eastAsia"/>
          <w:b/>
        </w:rPr>
        <w:t>应用场景</w:t>
      </w:r>
      <w:r>
        <w:rPr>
          <w:rFonts w:eastAsia="楷体_GB2312"/>
          <w:b/>
          <w:color w:val="000000"/>
        </w:rPr>
        <w:t>——</w:t>
      </w:r>
      <w:r>
        <w:rPr>
          <w:color w:val="0D0D0D"/>
        </w:rPr>
        <w:t>解决方案</w:t>
      </w:r>
      <w:r>
        <w:rPr>
          <w:rFonts w:hint="eastAsia"/>
          <w:color w:val="0D0D0D"/>
        </w:rPr>
        <w:t>满足以下安全生产场景：</w:t>
      </w:r>
    </w:p>
    <w:p>
      <w:pPr>
        <w:spacing w:line="592" w:lineRule="exact"/>
        <w:ind w:firstLine="640" w:firstLineChars="200"/>
        <w:rPr>
          <w:bCs/>
          <w:color w:val="0D0D0D"/>
        </w:rPr>
      </w:pPr>
      <w:r>
        <w:rPr>
          <w:rFonts w:hint="eastAsia"/>
          <w:bCs/>
        </w:rPr>
        <w:t>1</w:t>
      </w:r>
      <w:r>
        <w:rPr>
          <w:bCs/>
        </w:rPr>
        <w:t>.</w:t>
      </w:r>
      <w:r>
        <w:rPr>
          <w:rFonts w:hint="eastAsia"/>
          <w:bCs/>
        </w:rPr>
        <w:t>安全事件分析预警。</w:t>
      </w:r>
      <w:r>
        <w:rPr>
          <w:bCs/>
          <w:color w:val="0D0D0D"/>
        </w:rPr>
        <w:t>应用于安全风险分析预判、安全事件评估、跟踪、分析和决策、安全隐患排查预警、快速应急响应等。</w:t>
      </w:r>
    </w:p>
    <w:p>
      <w:pPr>
        <w:spacing w:line="592" w:lineRule="exact"/>
        <w:ind w:firstLine="640" w:firstLineChars="200"/>
        <w:rPr>
          <w:bCs/>
          <w:color w:val="0D0D0D"/>
        </w:rPr>
      </w:pPr>
      <w:r>
        <w:rPr>
          <w:rFonts w:hint="eastAsia"/>
          <w:bCs/>
        </w:rPr>
        <w:t>2</w:t>
      </w:r>
      <w:r>
        <w:rPr>
          <w:bCs/>
        </w:rPr>
        <w:t>.</w:t>
      </w:r>
      <w:r>
        <w:rPr>
          <w:rFonts w:hint="eastAsia"/>
          <w:bCs/>
        </w:rPr>
        <w:t>危险区域监测。</w:t>
      </w:r>
      <w:r>
        <w:rPr>
          <w:bCs/>
          <w:color w:val="0D0D0D"/>
        </w:rPr>
        <w:t>应用于明火、烟雾、可燃有毒气体监测、远程操作、无人巡检、无人值守等。</w:t>
      </w:r>
    </w:p>
    <w:p>
      <w:pPr>
        <w:spacing w:line="592" w:lineRule="exact"/>
        <w:ind w:firstLine="642"/>
        <w:rPr>
          <w:bCs/>
          <w:color w:val="0D0D0D"/>
        </w:rPr>
      </w:pPr>
      <w:r>
        <w:rPr>
          <w:rFonts w:hint="eastAsia"/>
          <w:bCs/>
        </w:rPr>
        <w:t>3</w:t>
      </w:r>
      <w:r>
        <w:rPr>
          <w:bCs/>
        </w:rPr>
        <w:t>.</w:t>
      </w:r>
      <w:r>
        <w:rPr>
          <w:rFonts w:hint="eastAsia"/>
          <w:bCs/>
        </w:rPr>
        <w:t>生产设备故障识别。</w:t>
      </w:r>
      <w:r>
        <w:rPr>
          <w:bCs/>
          <w:color w:val="0D0D0D"/>
        </w:rPr>
        <w:t>应用于设备上云、设备仿真、设备信息状态数据采集分析、设备故障隐患排查、故障预警、预测性维护、人机协同等。</w:t>
      </w:r>
    </w:p>
    <w:p>
      <w:pPr>
        <w:spacing w:line="592" w:lineRule="exact"/>
        <w:ind w:firstLine="642"/>
        <w:rPr>
          <w:bCs/>
          <w:color w:val="0D0D0D"/>
        </w:rPr>
      </w:pPr>
      <w:r>
        <w:rPr>
          <w:rFonts w:hint="eastAsia"/>
          <w:bCs/>
        </w:rPr>
        <w:t>4</w:t>
      </w:r>
      <w:r>
        <w:rPr>
          <w:bCs/>
        </w:rPr>
        <w:t>.</w:t>
      </w:r>
      <w:r>
        <w:rPr>
          <w:rFonts w:hint="eastAsia"/>
          <w:bCs/>
        </w:rPr>
        <w:t>人员追踪管理。</w:t>
      </w:r>
      <w:r>
        <w:rPr>
          <w:bCs/>
          <w:color w:val="0D0D0D"/>
        </w:rPr>
        <w:t>应用于人员在重点区域位置识别、跟踪和报警，违规行为辨识、电子围栏、应急模拟和仿真等。</w:t>
      </w:r>
    </w:p>
    <w:p>
      <w:pPr>
        <w:spacing w:line="592" w:lineRule="exact"/>
        <w:ind w:firstLine="642" w:firstLineChars="200"/>
        <w:rPr>
          <w:b/>
        </w:rPr>
      </w:pPr>
      <w:r>
        <w:rPr>
          <w:rFonts w:hint="eastAsia"/>
          <w:b/>
        </w:rPr>
        <w:t>应用成效</w:t>
      </w:r>
      <w:r>
        <w:rPr>
          <w:rFonts w:eastAsia="楷体_GB2312"/>
          <w:b/>
          <w:color w:val="000000"/>
        </w:rPr>
        <w:t>——</w:t>
      </w:r>
      <w:r>
        <w:rPr>
          <w:color w:val="0D0D0D"/>
        </w:rPr>
        <w:t>能够</w:t>
      </w:r>
      <w:r>
        <w:t>形成风险预警、智能巡检、故障自愈、网络化安全管理等解决方案，</w:t>
      </w:r>
      <w:r>
        <w:rPr>
          <w:color w:val="0D0D0D"/>
        </w:rPr>
        <w:t>增强工业安全生产的感知、监测、预警、处置和评估能力</w:t>
      </w:r>
      <w:r>
        <w:rPr>
          <w:rFonts w:hint="eastAsia"/>
        </w:rPr>
        <w:t>。</w:t>
      </w:r>
    </w:p>
    <w:p>
      <w:pPr>
        <w:tabs>
          <w:tab w:val="left" w:pos="0"/>
        </w:tabs>
        <w:autoSpaceDE w:val="0"/>
        <w:autoSpaceDN w:val="0"/>
        <w:adjustRightInd w:val="0"/>
        <w:spacing w:line="592" w:lineRule="exact"/>
        <w:ind w:firstLine="641"/>
        <w:outlineLvl w:val="1"/>
        <w:rPr>
          <w:rFonts w:eastAsia="楷体_GB2312"/>
          <w:b/>
          <w:kern w:val="0"/>
          <w:lang w:val="zh-CN"/>
        </w:rPr>
      </w:pPr>
      <w:r>
        <w:rPr>
          <w:rFonts w:eastAsia="楷体_GB2312"/>
          <w:b/>
          <w:kern w:val="0"/>
          <w:lang w:val="zh-CN"/>
        </w:rPr>
        <w:t>（二）工业互联网平台+绿色低碳</w:t>
      </w:r>
      <w:r>
        <w:rPr>
          <w:rFonts w:hint="eastAsia" w:eastAsia="楷体_GB2312"/>
          <w:b/>
          <w:kern w:val="0"/>
          <w:lang w:val="zh-CN"/>
        </w:rPr>
        <w:t>解决方案</w:t>
      </w:r>
    </w:p>
    <w:p>
      <w:pPr>
        <w:spacing w:line="592" w:lineRule="exact"/>
        <w:ind w:firstLine="642"/>
        <w:rPr>
          <w:color w:val="0D0D0D"/>
        </w:rPr>
      </w:pPr>
      <w:r>
        <w:rPr>
          <w:rFonts w:hint="eastAsia"/>
          <w:b/>
        </w:rPr>
        <w:t>重点方向</w:t>
      </w:r>
      <w:r>
        <w:rPr>
          <w:rFonts w:eastAsia="楷体_GB2312"/>
          <w:b/>
          <w:color w:val="000000"/>
        </w:rPr>
        <w:t>——</w:t>
      </w:r>
      <w:r>
        <w:rPr>
          <w:color w:val="0D0D0D"/>
        </w:rPr>
        <w:t>面向高耗能、高排放领域，着力解决传统制造业资源和能源利用效率低、排放监管实施困难</w:t>
      </w:r>
      <w:r>
        <w:rPr>
          <w:rFonts w:hint="eastAsia"/>
          <w:color w:val="0D0D0D"/>
        </w:rPr>
        <w:t>等</w:t>
      </w:r>
      <w:r>
        <w:rPr>
          <w:color w:val="0D0D0D"/>
        </w:rPr>
        <w:t>问题。</w:t>
      </w:r>
    </w:p>
    <w:p>
      <w:pPr>
        <w:spacing w:line="592" w:lineRule="exact"/>
        <w:ind w:firstLine="642"/>
        <w:rPr>
          <w:color w:val="0D0D0D"/>
        </w:rPr>
      </w:pPr>
      <w:r>
        <w:rPr>
          <w:rFonts w:hint="eastAsia"/>
          <w:b/>
        </w:rPr>
        <w:t>应用场景</w:t>
      </w:r>
      <w:r>
        <w:rPr>
          <w:rFonts w:eastAsia="楷体_GB2312"/>
          <w:b/>
          <w:color w:val="000000"/>
        </w:rPr>
        <w:t>——</w:t>
      </w:r>
      <w:r>
        <w:t>解决方案</w:t>
      </w:r>
      <w:r>
        <w:rPr>
          <w:color w:val="0D0D0D"/>
        </w:rPr>
        <w:t>应满足以下</w:t>
      </w:r>
      <w:r>
        <w:rPr>
          <w:rFonts w:hint="eastAsia"/>
          <w:color w:val="0D0D0D"/>
        </w:rPr>
        <w:t>两</w:t>
      </w:r>
      <w:r>
        <w:rPr>
          <w:color w:val="0D0D0D"/>
        </w:rPr>
        <w:t>个或多个绿色低碳典型场景：</w:t>
      </w:r>
    </w:p>
    <w:p>
      <w:pPr>
        <w:spacing w:line="592" w:lineRule="exact"/>
        <w:ind w:firstLine="642"/>
        <w:rPr>
          <w:bCs/>
          <w:color w:val="0D0D0D"/>
        </w:rPr>
      </w:pPr>
      <w:r>
        <w:rPr>
          <w:rFonts w:hint="eastAsia"/>
          <w:bCs/>
        </w:rPr>
        <w:t>1</w:t>
      </w:r>
      <w:r>
        <w:rPr>
          <w:bCs/>
        </w:rPr>
        <w:t>.</w:t>
      </w:r>
      <w:r>
        <w:rPr>
          <w:rFonts w:hint="eastAsia"/>
          <w:bCs/>
        </w:rPr>
        <w:t>绿色集约生产。</w:t>
      </w:r>
      <w:r>
        <w:rPr>
          <w:bCs/>
          <w:color w:val="0D0D0D"/>
        </w:rPr>
        <w:t>应用于生产工艺绿色化改进、设备上云、设备共享、设备生命周期管理、减少生产环节废弃物、资源回收利用等。</w:t>
      </w:r>
    </w:p>
    <w:p>
      <w:pPr>
        <w:spacing w:line="592" w:lineRule="exact"/>
        <w:ind w:firstLine="642"/>
        <w:rPr>
          <w:bCs/>
          <w:color w:val="0D0D0D"/>
        </w:rPr>
      </w:pPr>
      <w:r>
        <w:rPr>
          <w:rFonts w:hint="eastAsia"/>
          <w:bCs/>
        </w:rPr>
        <w:t>2</w:t>
      </w:r>
      <w:r>
        <w:rPr>
          <w:bCs/>
        </w:rPr>
        <w:t>.</w:t>
      </w:r>
      <w:r>
        <w:rPr>
          <w:rFonts w:hint="eastAsia"/>
          <w:bCs/>
        </w:rPr>
        <w:t>能源动态配置。</w:t>
      </w:r>
      <w:r>
        <w:rPr>
          <w:bCs/>
          <w:color w:val="0D0D0D"/>
        </w:rPr>
        <w:t>应用于能源动态监控、能源平衡优化、用电异常预警、能源利用效率提升、能源交易等。</w:t>
      </w:r>
    </w:p>
    <w:p>
      <w:pPr>
        <w:spacing w:line="592" w:lineRule="exact"/>
        <w:ind w:firstLine="642"/>
        <w:rPr>
          <w:bCs/>
          <w:color w:val="0D0D0D"/>
        </w:rPr>
      </w:pPr>
      <w:r>
        <w:rPr>
          <w:rFonts w:hint="eastAsia"/>
          <w:bCs/>
        </w:rPr>
        <w:t>3</w:t>
      </w:r>
      <w:r>
        <w:rPr>
          <w:bCs/>
        </w:rPr>
        <w:t>.</w:t>
      </w:r>
      <w:r>
        <w:rPr>
          <w:rFonts w:hint="eastAsia"/>
          <w:bCs/>
        </w:rPr>
        <w:t>能耗和排放管控。</w:t>
      </w:r>
      <w:r>
        <w:rPr>
          <w:bCs/>
          <w:color w:val="0D0D0D"/>
        </w:rPr>
        <w:t>应用于能耗用量分析、远程状态监测、污染物实时监测、超标排放预警、实时碳排放分析、碳资产核查复查、碳管控、碳交易等。</w:t>
      </w:r>
    </w:p>
    <w:p>
      <w:pPr>
        <w:spacing w:line="592" w:lineRule="exact"/>
        <w:ind w:firstLine="642"/>
        <w:rPr>
          <w:color w:val="0D0D0D"/>
        </w:rPr>
      </w:pPr>
      <w:r>
        <w:rPr>
          <w:rFonts w:hint="eastAsia"/>
          <w:b/>
        </w:rPr>
        <w:t>应用成效</w:t>
      </w:r>
      <w:r>
        <w:rPr>
          <w:rFonts w:eastAsia="楷体_GB2312"/>
          <w:b/>
          <w:color w:val="000000"/>
        </w:rPr>
        <w:t>——</w:t>
      </w:r>
      <w:r>
        <w:rPr>
          <w:color w:val="0D0D0D"/>
        </w:rPr>
        <w:t>能够打通生产和运营环节的能源数据链条，形成能源智能监测、动态调配、节能减排、低碳化管理</w:t>
      </w:r>
      <w:r>
        <w:rPr>
          <w:rFonts w:hint="eastAsia"/>
          <w:color w:val="0D0D0D"/>
        </w:rPr>
        <w:t>等</w:t>
      </w:r>
      <w:r>
        <w:rPr>
          <w:color w:val="0D0D0D"/>
        </w:rPr>
        <w:t>解决方案，提升能源管理水平和利用效率。</w:t>
      </w:r>
    </w:p>
    <w:p>
      <w:pPr>
        <w:tabs>
          <w:tab w:val="left" w:pos="0"/>
        </w:tabs>
        <w:spacing w:line="592" w:lineRule="exact"/>
        <w:ind w:firstLine="642"/>
        <w:rPr>
          <w:rFonts w:eastAsia="楷体_GB2312"/>
          <w:b/>
          <w:kern w:val="0"/>
          <w:lang w:val="zh-CN"/>
        </w:rPr>
      </w:pPr>
      <w:r>
        <w:rPr>
          <w:rFonts w:eastAsia="楷体_GB2312"/>
          <w:b/>
          <w:kern w:val="0"/>
          <w:lang w:val="zh-CN"/>
        </w:rPr>
        <w:t>（三）工业互联网平台+质量管理</w:t>
      </w:r>
      <w:r>
        <w:rPr>
          <w:rFonts w:hint="eastAsia" w:eastAsia="楷体_GB2312"/>
          <w:b/>
          <w:kern w:val="0"/>
          <w:lang w:val="zh-CN"/>
        </w:rPr>
        <w:t>解决方案</w:t>
      </w:r>
    </w:p>
    <w:p>
      <w:pPr>
        <w:spacing w:line="592" w:lineRule="exact"/>
        <w:ind w:firstLine="643"/>
        <w:rPr>
          <w:color w:val="0D0D0D"/>
        </w:rPr>
      </w:pPr>
      <w:r>
        <w:rPr>
          <w:rFonts w:hint="eastAsia"/>
          <w:b/>
        </w:rPr>
        <w:t>面向问题</w:t>
      </w:r>
      <w:r>
        <w:rPr>
          <w:rFonts w:eastAsia="楷体_GB2312"/>
          <w:b/>
          <w:color w:val="000000"/>
        </w:rPr>
        <w:t>——</w:t>
      </w:r>
      <w:r>
        <w:rPr>
          <w:color w:val="0D0D0D"/>
        </w:rPr>
        <w:t>着力解决产品全生命周期质量数据不贯通、质量管控不全面、质量缺陷回溯和验证难等问题。</w:t>
      </w:r>
    </w:p>
    <w:p>
      <w:pPr>
        <w:spacing w:line="592" w:lineRule="exact"/>
        <w:ind w:firstLine="642" w:firstLineChars="200"/>
        <w:rPr>
          <w:b/>
        </w:rPr>
      </w:pPr>
      <w:r>
        <w:rPr>
          <w:b/>
        </w:rPr>
        <w:t>应用场景</w:t>
      </w:r>
      <w:r>
        <w:rPr>
          <w:rFonts w:eastAsia="楷体_GB2312"/>
          <w:b/>
          <w:color w:val="000000"/>
        </w:rPr>
        <w:t>——</w:t>
      </w:r>
      <w:r>
        <w:t>解决方案应满足以下</w:t>
      </w:r>
      <w:r>
        <w:rPr>
          <w:rFonts w:hint="eastAsia"/>
        </w:rPr>
        <w:t>两</w:t>
      </w:r>
      <w:r>
        <w:t>个或多个</w:t>
      </w:r>
      <w:r>
        <w:rPr>
          <w:color w:val="0D0D0D"/>
        </w:rPr>
        <w:t>质量管理典型</w:t>
      </w:r>
      <w:r>
        <w:t>场景：</w:t>
      </w:r>
    </w:p>
    <w:p>
      <w:pPr>
        <w:spacing w:line="592" w:lineRule="exact"/>
        <w:ind w:firstLine="643"/>
        <w:rPr>
          <w:bCs/>
          <w:color w:val="0D0D0D"/>
        </w:rPr>
      </w:pPr>
      <w:r>
        <w:rPr>
          <w:bCs/>
        </w:rPr>
        <w:t>1.研发设计优化。</w:t>
      </w:r>
      <w:r>
        <w:rPr>
          <w:bCs/>
          <w:color w:val="0D0D0D"/>
        </w:rPr>
        <w:t>应用于产品设计流程控制和优化，样机测试分析、产品设计缺陷识别、产品样机质量验证等。</w:t>
      </w:r>
    </w:p>
    <w:p>
      <w:pPr>
        <w:spacing w:line="592" w:lineRule="exact"/>
        <w:ind w:firstLine="643"/>
        <w:rPr>
          <w:bCs/>
          <w:color w:val="0D0D0D"/>
        </w:rPr>
      </w:pPr>
      <w:r>
        <w:rPr>
          <w:bCs/>
        </w:rPr>
        <w:t>2.生产质量控制。</w:t>
      </w:r>
      <w:r>
        <w:rPr>
          <w:bCs/>
          <w:color w:val="0D0D0D"/>
        </w:rPr>
        <w:t>应用于生产环节质量控制、质量问题分析决策、运维管理、问题回溯、问题追责等。</w:t>
      </w:r>
    </w:p>
    <w:p>
      <w:pPr>
        <w:spacing w:line="592" w:lineRule="exact"/>
        <w:ind w:firstLine="640" w:firstLineChars="200"/>
        <w:rPr>
          <w:bCs/>
          <w:color w:val="0D0D0D"/>
        </w:rPr>
      </w:pPr>
      <w:r>
        <w:rPr>
          <w:bCs/>
        </w:rPr>
        <w:t>3.质量检测检验。</w:t>
      </w:r>
      <w:r>
        <w:rPr>
          <w:bCs/>
          <w:color w:val="0D0D0D"/>
        </w:rPr>
        <w:t>应用于原材料发货检验、质量检验统计综合分析、不良品原因分析和处理、质检效率提升等。</w:t>
      </w:r>
    </w:p>
    <w:p>
      <w:pPr>
        <w:spacing w:line="592" w:lineRule="exact"/>
        <w:ind w:firstLine="642" w:firstLineChars="200"/>
      </w:pPr>
      <w:r>
        <w:rPr>
          <w:b/>
        </w:rPr>
        <w:t>应用成效</w:t>
      </w:r>
      <w:r>
        <w:rPr>
          <w:rFonts w:eastAsia="楷体_GB2312"/>
          <w:b/>
          <w:color w:val="000000"/>
        </w:rPr>
        <w:t>——</w:t>
      </w:r>
      <w:r>
        <w:t>在</w:t>
      </w:r>
      <w:r>
        <w:rPr>
          <w:color w:val="0D0D0D"/>
        </w:rPr>
        <w:t>产品设计、生产、检验和运维等环节，能够形成全生命周期质量问题</w:t>
      </w:r>
      <w:r>
        <w:t>动态识别、智能分析、科学决策的闭环</w:t>
      </w:r>
      <w:r>
        <w:rPr>
          <w:color w:val="0D0D0D"/>
        </w:rPr>
        <w:t>解决方案，系统提升质量管理水平</w:t>
      </w:r>
      <w:r>
        <w:t>。</w:t>
      </w:r>
    </w:p>
    <w:p>
      <w:pPr>
        <w:tabs>
          <w:tab w:val="left" w:pos="0"/>
        </w:tabs>
        <w:autoSpaceDE w:val="0"/>
        <w:autoSpaceDN w:val="0"/>
        <w:adjustRightInd w:val="0"/>
        <w:spacing w:line="592" w:lineRule="exact"/>
        <w:ind w:firstLine="641"/>
        <w:outlineLvl w:val="1"/>
        <w:rPr>
          <w:rFonts w:eastAsia="楷体_GB2312"/>
          <w:b/>
          <w:kern w:val="0"/>
          <w:lang w:val="zh-CN"/>
        </w:rPr>
      </w:pPr>
      <w:r>
        <w:rPr>
          <w:rFonts w:eastAsia="楷体_GB2312"/>
          <w:b/>
          <w:kern w:val="0"/>
          <w:lang w:val="zh-CN"/>
        </w:rPr>
        <w:t>（四）工业互联网平台+供应链协同</w:t>
      </w:r>
      <w:r>
        <w:rPr>
          <w:rFonts w:hint="eastAsia" w:eastAsia="楷体_GB2312"/>
          <w:b/>
          <w:kern w:val="0"/>
          <w:lang w:val="zh-CN"/>
        </w:rPr>
        <w:t>解决方案</w:t>
      </w:r>
    </w:p>
    <w:p>
      <w:pPr>
        <w:spacing w:line="592" w:lineRule="exact"/>
        <w:ind w:firstLine="643"/>
      </w:pPr>
      <w:r>
        <w:rPr>
          <w:rFonts w:hint="eastAsia"/>
          <w:b/>
        </w:rPr>
        <w:t>面向问题</w:t>
      </w:r>
      <w:r>
        <w:rPr>
          <w:rFonts w:eastAsia="楷体_GB2312"/>
          <w:b/>
          <w:color w:val="000000"/>
        </w:rPr>
        <w:t>——</w:t>
      </w:r>
      <w:r>
        <w:rPr>
          <w:color w:val="0D0D0D"/>
        </w:rPr>
        <w:t>着力</w:t>
      </w:r>
      <w:r>
        <w:t>解决供应链透明度不高、数据链条不贯通、物流效率低、物料供需不平衡、库存风险不可控等问题。</w:t>
      </w:r>
    </w:p>
    <w:p>
      <w:pPr>
        <w:spacing w:line="592" w:lineRule="exact"/>
        <w:ind w:firstLine="642" w:firstLineChars="200"/>
        <w:rPr>
          <w:b/>
        </w:rPr>
      </w:pPr>
      <w:r>
        <w:rPr>
          <w:b/>
        </w:rPr>
        <w:t>应用场景</w:t>
      </w:r>
      <w:r>
        <w:rPr>
          <w:rFonts w:eastAsia="楷体_GB2312"/>
          <w:b/>
          <w:color w:val="000000"/>
        </w:rPr>
        <w:t>——</w:t>
      </w:r>
      <w:r>
        <w:t>解决方案应满足以下</w:t>
      </w:r>
      <w:r>
        <w:rPr>
          <w:rFonts w:hint="eastAsia"/>
        </w:rPr>
        <w:t>两</w:t>
      </w:r>
      <w:r>
        <w:t>个或多个供应链协同典型场景：</w:t>
      </w:r>
    </w:p>
    <w:p>
      <w:pPr>
        <w:spacing w:line="592" w:lineRule="exact"/>
        <w:ind w:firstLine="640"/>
        <w:rPr>
          <w:bCs/>
          <w:color w:val="0D0D0D"/>
        </w:rPr>
      </w:pPr>
      <w:r>
        <w:rPr>
          <w:bCs/>
        </w:rPr>
        <w:t>1.采购管理。</w:t>
      </w:r>
      <w:r>
        <w:rPr>
          <w:bCs/>
          <w:color w:val="0D0D0D"/>
        </w:rPr>
        <w:t>应用于采购需求分析和预测、采购合同及流程管理、供应商管理、投标管理、履约管理、制定供应计划、供应商考核等。</w:t>
      </w:r>
    </w:p>
    <w:p>
      <w:pPr>
        <w:spacing w:line="592" w:lineRule="exact"/>
        <w:ind w:firstLine="640"/>
        <w:rPr>
          <w:bCs/>
          <w:color w:val="0D0D0D"/>
        </w:rPr>
      </w:pPr>
      <w:r>
        <w:rPr>
          <w:bCs/>
        </w:rPr>
        <w:t>2.原材料、产品溯源。</w:t>
      </w:r>
      <w:r>
        <w:rPr>
          <w:bCs/>
          <w:color w:val="0D0D0D"/>
        </w:rPr>
        <w:t>应用于溯源计划制定和实施决策、全流程物料跟踪、防伪溯源、渠道管理、问题责任追溯等。</w:t>
      </w:r>
    </w:p>
    <w:p>
      <w:pPr>
        <w:spacing w:line="592" w:lineRule="exact"/>
        <w:ind w:firstLine="640"/>
        <w:rPr>
          <w:bCs/>
          <w:color w:val="0D0D0D"/>
        </w:rPr>
      </w:pPr>
      <w:r>
        <w:rPr>
          <w:bCs/>
        </w:rPr>
        <w:t>3.仓储物流调度跟踪。</w:t>
      </w:r>
      <w:r>
        <w:rPr>
          <w:bCs/>
          <w:color w:val="0D0D0D"/>
        </w:rPr>
        <w:t>应用于仓储运作管理、人机车设备联动、运输管理、物流规划、站场调度、动态配载、交付跟踪等。</w:t>
      </w:r>
    </w:p>
    <w:p>
      <w:pPr>
        <w:spacing w:line="592" w:lineRule="exact"/>
        <w:ind w:firstLine="640"/>
        <w:rPr>
          <w:bCs/>
          <w:color w:val="0D0D0D"/>
        </w:rPr>
      </w:pPr>
      <w:r>
        <w:rPr>
          <w:bCs/>
        </w:rPr>
        <w:t>4.库存管理。应</w:t>
      </w:r>
      <w:r>
        <w:rPr>
          <w:bCs/>
          <w:color w:val="0D0D0D"/>
        </w:rPr>
        <w:t>用于入库管理、库位分配、盘库管理、出库管理、库存计划制定、库存订货和销售管理、库存安全风险评估预警等。</w:t>
      </w:r>
    </w:p>
    <w:p>
      <w:pPr>
        <w:spacing w:line="592" w:lineRule="exact"/>
        <w:ind w:firstLine="642" w:firstLineChars="200"/>
      </w:pPr>
      <w:r>
        <w:rPr>
          <w:b/>
        </w:rPr>
        <w:t>应用成效</w:t>
      </w:r>
      <w:r>
        <w:rPr>
          <w:rFonts w:eastAsia="楷体_GB2312"/>
          <w:b/>
          <w:color w:val="000000"/>
        </w:rPr>
        <w:t>——</w:t>
      </w:r>
      <w:r>
        <w:t>能够</w:t>
      </w:r>
      <w:r>
        <w:rPr>
          <w:color w:val="0D0D0D"/>
        </w:rPr>
        <w:t>汇聚上下游的采购数据、生产数据和销售数据，打通数据链条</w:t>
      </w:r>
      <w:r>
        <w:t>，形成协同采购、实时跟踪、动态调度、快速交付、智能预警等</w:t>
      </w:r>
      <w:r>
        <w:rPr>
          <w:color w:val="0D0D0D"/>
        </w:rPr>
        <w:t>线上线下联动的供应链协同解决方案。</w:t>
      </w:r>
    </w:p>
    <w:p>
      <w:pPr>
        <w:spacing w:line="592" w:lineRule="exact"/>
        <w:ind w:firstLine="640" w:firstLineChars="200"/>
        <w:outlineLvl w:val="2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</w:t>
      </w:r>
      <w:r>
        <w:rPr>
          <w:rFonts w:ascii="黑体" w:hAnsi="黑体" w:eastAsia="黑体"/>
        </w:rPr>
        <w:t>新模式应用示范</w:t>
      </w:r>
    </w:p>
    <w:p>
      <w:pPr>
        <w:pStyle w:val="8"/>
        <w:widowControl w:val="0"/>
        <w:spacing w:before="0" w:beforeAutospacing="0" w:after="0" w:afterAutospacing="0" w:line="592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聚焦工业企业发展面临的关键问题，围绕平台化设计、数字化管理、智能化制造、个性化定制、网络化协同、服务化延伸等六大应用模式，</w:t>
      </w:r>
      <w:r>
        <w:rPr>
          <w:rFonts w:eastAsia="仿宋_GB2312" w:cs="Times New Roman"/>
          <w:color w:val="000000"/>
          <w:sz w:val="32"/>
        </w:rPr>
        <w:t>优</w:t>
      </w:r>
      <w:r>
        <w:rPr>
          <w:rFonts w:ascii="Times New Roman" w:hAnsi="Times New Roman" w:eastAsia="仿宋_GB2312" w:cs="Times New Roman"/>
          <w:color w:val="000000"/>
          <w:sz w:val="32"/>
        </w:rPr>
        <w:t>选一批技术先进、成效显著、能复制推广的工业互联网应用案例，推进工业互联网创新发展。主要方向如下：</w:t>
      </w:r>
    </w:p>
    <w:p>
      <w:pPr>
        <w:pStyle w:val="8"/>
        <w:widowControl w:val="0"/>
        <w:spacing w:before="0" w:beforeAutospacing="0" w:after="0" w:afterAutospacing="0" w:line="592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color w:val="000000"/>
          <w:sz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sz w:val="32"/>
        </w:rPr>
        <w:t>（一）</w:t>
      </w:r>
      <w:r>
        <w:rPr>
          <w:rFonts w:ascii="Times New Roman" w:hAnsi="Times New Roman" w:eastAsia="楷体_GB2312" w:cs="Times New Roman"/>
          <w:b/>
          <w:color w:val="000000"/>
          <w:sz w:val="32"/>
        </w:rPr>
        <w:t>平台化设计</w:t>
      </w:r>
    </w:p>
    <w:p>
      <w:pPr>
        <w:pStyle w:val="8"/>
        <w:widowControl w:val="0"/>
        <w:spacing w:before="0" w:beforeAutospacing="0" w:after="0" w:afterAutospacing="0" w:line="592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聚焦工业设计资源分散、工具软件落后和研发效率低等问题，通过工业互联网平台汇聚产学研用等各领域研发设计资源，加快工业知识经验沉淀、仿真设计工具创新，实现并行、敏捷、交互和模块化设计，推动供应商参与设计、用户反馈设计，提高产品设计水平、协同研发效率和成本控制能力。</w:t>
      </w:r>
    </w:p>
    <w:p>
      <w:pPr>
        <w:pStyle w:val="8"/>
        <w:widowControl w:val="0"/>
        <w:spacing w:before="0" w:beforeAutospacing="0" w:after="0" w:afterAutospacing="0" w:line="592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color w:val="000000"/>
          <w:sz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sz w:val="32"/>
        </w:rPr>
        <w:t>（二）</w:t>
      </w:r>
      <w:r>
        <w:rPr>
          <w:rFonts w:ascii="Times New Roman" w:hAnsi="Times New Roman" w:eastAsia="楷体_GB2312" w:cs="Times New Roman"/>
          <w:b/>
          <w:color w:val="000000"/>
          <w:sz w:val="32"/>
        </w:rPr>
        <w:t>数字化管理</w:t>
      </w:r>
    </w:p>
    <w:p>
      <w:pPr>
        <w:pStyle w:val="8"/>
        <w:widowControl w:val="0"/>
        <w:spacing w:before="0" w:beforeAutospacing="0" w:after="0" w:afterAutospacing="0" w:line="592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聚焦工业企业数据开发利用程度低、管理决策效率低等问题，能够基于工业互联网应用打通业务流程、管理系统和供应链数据，通过全链条数据贯通与智能分析，实现组织架构优化、动态精准服务、辅助管理决策等管理模式创新，提升企业经营管理能力。</w:t>
      </w:r>
    </w:p>
    <w:p>
      <w:pPr>
        <w:pStyle w:val="8"/>
        <w:widowControl w:val="0"/>
        <w:spacing w:before="0" w:beforeAutospacing="0" w:after="0" w:afterAutospacing="0" w:line="592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color w:val="000000"/>
          <w:sz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sz w:val="32"/>
        </w:rPr>
        <w:t>（三）</w:t>
      </w:r>
      <w:r>
        <w:rPr>
          <w:rFonts w:ascii="Times New Roman" w:hAnsi="Times New Roman" w:eastAsia="楷体_GB2312" w:cs="Times New Roman"/>
          <w:b/>
          <w:color w:val="000000"/>
          <w:sz w:val="32"/>
        </w:rPr>
        <w:t>智能化制造</w:t>
      </w:r>
    </w:p>
    <w:p>
      <w:pPr>
        <w:pStyle w:val="8"/>
        <w:widowControl w:val="0"/>
        <w:spacing w:before="0" w:beforeAutospacing="0" w:after="0" w:afterAutospacing="0" w:line="592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聚焦传统工艺技术落后、生产效率低和管控能力弱等问题，通过对制造过程数字化改造，推动设备、系统等之间数据互联互通，实现对生产制造过程的动态感知、实时分析与科学决策，提升生产效率和产品质量，提高资源能源利用率与生产安全水平，实现数据驱动的智能化生产。</w:t>
      </w:r>
    </w:p>
    <w:p>
      <w:pPr>
        <w:pStyle w:val="8"/>
        <w:widowControl w:val="0"/>
        <w:spacing w:before="0" w:beforeAutospacing="0" w:after="0" w:afterAutospacing="0" w:line="592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color w:val="000000"/>
          <w:sz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sz w:val="32"/>
        </w:rPr>
        <w:t>（四）</w:t>
      </w:r>
      <w:r>
        <w:rPr>
          <w:rFonts w:ascii="Times New Roman" w:hAnsi="Times New Roman" w:eastAsia="楷体_GB2312" w:cs="Times New Roman"/>
          <w:b/>
          <w:color w:val="000000"/>
          <w:sz w:val="32"/>
        </w:rPr>
        <w:t>网络化协同</w:t>
      </w:r>
    </w:p>
    <w:p>
      <w:pPr>
        <w:pStyle w:val="8"/>
        <w:widowControl w:val="0"/>
        <w:spacing w:before="0" w:beforeAutospacing="0" w:after="0" w:afterAutospacing="0" w:line="592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聚焦产业链结构复杂、信息不对称、协作效率低等问题，通过工业互联网汇聚设计、制造、运维、供应链等各环节主体，推动关键数据共享和制造资源优化配置，实现跨企业、跨地区、跨行业的研发协同、制造协同、供应协同，打造覆盖产品全生命周期的云化服务与协同服务，以数据价值网络推动产业链延伸与价值链升级。</w:t>
      </w:r>
    </w:p>
    <w:p>
      <w:pPr>
        <w:pStyle w:val="8"/>
        <w:widowControl w:val="0"/>
        <w:spacing w:before="0" w:beforeAutospacing="0" w:after="0" w:afterAutospacing="0" w:line="592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color w:val="000000"/>
          <w:sz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sz w:val="32"/>
        </w:rPr>
        <w:t>（五）</w:t>
      </w:r>
      <w:r>
        <w:rPr>
          <w:rFonts w:ascii="Times New Roman" w:hAnsi="Times New Roman" w:eastAsia="楷体_GB2312" w:cs="Times New Roman"/>
          <w:b/>
          <w:color w:val="000000"/>
          <w:sz w:val="32"/>
        </w:rPr>
        <w:t>个性化定制</w:t>
      </w:r>
    </w:p>
    <w:p>
      <w:pPr>
        <w:pStyle w:val="8"/>
        <w:widowControl w:val="0"/>
        <w:spacing w:before="0" w:beforeAutospacing="0" w:after="0" w:afterAutospacing="0" w:line="592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聚焦产品附加值较低、多样化市场需求无法有效满足等问题，通过工业互联网增强用户在产品全生命周期中的参与度，精准挖掘分析用户需求，并基于数据整合分析、模型库共享与供应商协同，实现模块化与个性化设计、柔性化生产、智能仓储和准时交付，实现高效率、零库存的生产模式。</w:t>
      </w:r>
    </w:p>
    <w:p>
      <w:pPr>
        <w:pStyle w:val="8"/>
        <w:widowControl w:val="0"/>
        <w:spacing w:before="0" w:beforeAutospacing="0" w:after="0" w:afterAutospacing="0" w:line="592" w:lineRule="exact"/>
        <w:ind w:firstLine="642" w:firstLineChars="200"/>
        <w:jc w:val="both"/>
        <w:rPr>
          <w:rFonts w:ascii="Times New Roman" w:hAnsi="Times New Roman" w:eastAsia="楷体_GB2312" w:cs="Times New Roman"/>
          <w:b/>
          <w:color w:val="000000"/>
          <w:sz w:val="32"/>
        </w:rPr>
      </w:pPr>
      <w:r>
        <w:rPr>
          <w:rFonts w:hint="eastAsia" w:ascii="Times New Roman" w:hAnsi="Times New Roman" w:eastAsia="楷体_GB2312" w:cs="Times New Roman"/>
          <w:b/>
          <w:color w:val="000000"/>
          <w:sz w:val="32"/>
        </w:rPr>
        <w:t>（六）</w:t>
      </w:r>
      <w:r>
        <w:rPr>
          <w:rFonts w:ascii="Times New Roman" w:hAnsi="Times New Roman" w:eastAsia="楷体_GB2312" w:cs="Times New Roman"/>
          <w:b/>
          <w:color w:val="000000"/>
          <w:sz w:val="32"/>
        </w:rPr>
        <w:t>服务化延伸</w:t>
      </w:r>
    </w:p>
    <w:p>
      <w:pPr>
        <w:pStyle w:val="8"/>
        <w:widowControl w:val="0"/>
        <w:spacing w:before="0" w:beforeAutospacing="0" w:after="0" w:afterAutospacing="0" w:line="592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聚焦传统制造竞争力下降、设备运维成本高、售后服务要求高等问题，基于工业互联网实现对产品的远程互联和数据分析，实现产品追溯、远程运维、分享制造、供应链金融、回收利用等服务模式创新，推动传统制造向制造服务转变、从出售产品到“产品+服务”转变，拓展数字服务领域，重塑企业竞争力。</w:t>
      </w:r>
    </w:p>
    <w:p>
      <w:pPr>
        <w:jc w:val="center"/>
        <w:rPr>
          <w:rFonts w:eastAsia="方正小标宋简体"/>
          <w:b/>
          <w:color w:val="000000"/>
          <w:sz w:val="44"/>
          <w:szCs w:val="44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</w:p>
    <w:p>
      <w:pPr>
        <w:ind w:right="-509" w:rightChars="-159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附件3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eastAsia="方正小标宋简体"/>
          <w:color w:val="000000"/>
          <w:sz w:val="52"/>
          <w:szCs w:val="52"/>
        </w:rPr>
        <w:t xml:space="preserve"> 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eastAsia="方正小标宋简体"/>
          <w:color w:val="000000"/>
          <w:sz w:val="52"/>
          <w:szCs w:val="52"/>
        </w:rPr>
        <w:t>工业互联网创新应用示范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项目申报书</w:t>
      </w:r>
    </w:p>
    <w:p>
      <w:pPr>
        <w:widowControl/>
        <w:autoSpaceDN w:val="0"/>
        <w:jc w:val="center"/>
        <w:rPr>
          <w:rFonts w:ascii="楷体" w:hAnsi="楷体" w:eastAsia="楷体"/>
          <w:color w:val="000000"/>
          <w:kern w:val="0"/>
          <w:sz w:val="52"/>
          <w:szCs w:val="21"/>
        </w:rPr>
      </w:pPr>
      <w:r>
        <w:rPr>
          <w:rFonts w:hint="eastAsia" w:ascii="楷体" w:hAnsi="楷体" w:eastAsia="楷体"/>
          <w:color w:val="000000"/>
          <w:kern w:val="0"/>
        </w:rPr>
        <w:t>（</w:t>
      </w:r>
      <w:r>
        <w:rPr>
          <w:rFonts w:ascii="楷体" w:hAnsi="楷体" w:eastAsia="楷体"/>
          <w:szCs w:val="24"/>
        </w:rPr>
        <w:t>平台</w:t>
      </w:r>
      <w:r>
        <w:rPr>
          <w:rFonts w:hint="eastAsia" w:ascii="楷体" w:hAnsi="楷体" w:eastAsia="楷体"/>
        </w:rPr>
        <w:t>应用</w:t>
      </w:r>
      <w:r>
        <w:rPr>
          <w:rFonts w:ascii="楷体" w:hAnsi="楷体" w:eastAsia="楷体"/>
          <w:szCs w:val="24"/>
        </w:rPr>
        <w:t>示范</w:t>
      </w:r>
      <w:r>
        <w:rPr>
          <w:rFonts w:hint="eastAsia" w:ascii="楷体" w:hAnsi="楷体" w:eastAsia="楷体"/>
          <w:color w:val="000000"/>
          <w:kern w:val="0"/>
        </w:rPr>
        <w:t>）</w:t>
      </w:r>
    </w:p>
    <w:p>
      <w:pPr>
        <w:widowControl/>
        <w:autoSpaceDN w:val="0"/>
        <w:ind w:left="1" w:firstLine="320" w:firstLineChars="100"/>
        <w:jc w:val="left"/>
        <w:rPr>
          <w:color w:val="000000"/>
          <w:szCs w:val="21"/>
        </w:rPr>
      </w:pPr>
    </w:p>
    <w:p>
      <w:pPr>
        <w:widowControl/>
        <w:autoSpaceDN w:val="0"/>
        <w:ind w:firstLine="1080" w:firstLineChars="300"/>
        <w:rPr>
          <w:rFonts w:eastAsia="黑体"/>
          <w:color w:val="000000"/>
          <w:kern w:val="0"/>
          <w:sz w:val="36"/>
          <w:szCs w:val="21"/>
        </w:rPr>
      </w:pPr>
    </w:p>
    <w:p>
      <w:pPr>
        <w:widowControl/>
        <w:autoSpaceDN w:val="0"/>
        <w:rPr>
          <w:rFonts w:eastAsia="黑体"/>
          <w:color w:val="000000"/>
          <w:szCs w:val="21"/>
        </w:rPr>
      </w:pPr>
      <w:r>
        <w:rPr>
          <w:rFonts w:hint="eastAsia" w:eastAsia="黑体"/>
          <w:color w:val="000000"/>
          <w:kern w:val="0"/>
          <w:sz w:val="36"/>
          <w:szCs w:val="21"/>
        </w:rPr>
        <w:t>解决方案</w:t>
      </w:r>
      <w:r>
        <w:rPr>
          <w:rFonts w:eastAsia="黑体"/>
          <w:color w:val="000000"/>
          <w:kern w:val="0"/>
          <w:sz w:val="36"/>
          <w:szCs w:val="21"/>
        </w:rPr>
        <w:t>名称：</w:t>
      </w:r>
    </w:p>
    <w:p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>
      <w:pPr>
        <w:spacing w:after="120"/>
        <w:rPr>
          <w:rFonts w:eastAsia="黑体"/>
          <w:b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1080" w:firstLineChars="3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kern w:val="0"/>
          <w:sz w:val="36"/>
          <w:szCs w:val="21"/>
        </w:rPr>
        <w:t>申报单位：</w:t>
      </w:r>
      <w:r>
        <w:rPr>
          <w:rFonts w:eastAsia="黑体"/>
          <w:color w:val="000000"/>
          <w:kern w:val="0"/>
          <w:sz w:val="36"/>
          <w:szCs w:val="21"/>
          <w:u w:val="single"/>
        </w:rPr>
        <w:t xml:space="preserve">                  （盖章）</w:t>
      </w:r>
    </w:p>
    <w:p>
      <w:pPr>
        <w:widowControl/>
        <w:autoSpaceDN w:val="0"/>
        <w:ind w:firstLine="1080" w:firstLineChars="3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kern w:val="0"/>
          <w:sz w:val="36"/>
          <w:szCs w:val="21"/>
        </w:rPr>
        <w:t>联 系 人：</w:t>
      </w:r>
    </w:p>
    <w:p>
      <w:pPr>
        <w:widowControl/>
        <w:autoSpaceDN w:val="0"/>
        <w:ind w:firstLine="1080" w:firstLineChars="300"/>
        <w:rPr>
          <w:rFonts w:eastAsia="黑体"/>
          <w:color w:val="000000"/>
          <w:szCs w:val="21"/>
          <w:u w:val="single"/>
        </w:rPr>
      </w:pPr>
      <w:r>
        <w:rPr>
          <w:rFonts w:eastAsia="黑体"/>
          <w:color w:val="000000"/>
          <w:kern w:val="0"/>
          <w:sz w:val="36"/>
          <w:szCs w:val="21"/>
        </w:rPr>
        <w:t>联系电话：</w:t>
      </w:r>
    </w:p>
    <w:p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723"/>
        <w:jc w:val="center"/>
        <w:rPr>
          <w:rFonts w:eastAsia="黑体"/>
          <w:bCs/>
          <w:color w:val="000000"/>
          <w:kern w:val="0"/>
          <w:sz w:val="36"/>
          <w:szCs w:val="21"/>
        </w:rPr>
      </w:pPr>
      <w:r>
        <w:rPr>
          <w:rFonts w:eastAsia="黑体"/>
          <w:color w:val="000000"/>
          <w:kern w:val="0"/>
          <w:sz w:val="36"/>
          <w:szCs w:val="21"/>
        </w:rPr>
        <w:t>年  月</w:t>
      </w:r>
    </w:p>
    <w:p>
      <w:pPr>
        <w:rPr>
          <w:b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435" w:charSpace="0"/>
        </w:sectPr>
      </w:pPr>
    </w:p>
    <w:p>
      <w:pPr>
        <w:widowControl/>
        <w:snapToGrid w:val="0"/>
        <w:spacing w:line="360" w:lineRule="auto"/>
        <w:jc w:val="left"/>
        <w:outlineLvl w:val="0"/>
      </w:pPr>
      <w:r>
        <w:rPr>
          <w:b/>
          <w:lang w:bidi="ar"/>
        </w:rPr>
        <w:t>一、基本信息</w:t>
      </w:r>
    </w:p>
    <w:tbl>
      <w:tblPr>
        <w:tblStyle w:val="10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101"/>
        <w:gridCol w:w="868"/>
        <w:gridCol w:w="1554"/>
        <w:gridCol w:w="186"/>
        <w:gridCol w:w="77"/>
        <w:gridCol w:w="980"/>
        <w:gridCol w:w="342"/>
        <w:gridCol w:w="678"/>
        <w:gridCol w:w="426"/>
        <w:gridCol w:w="46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bidi="ar"/>
              </w:rPr>
              <w:t>（一）申报单位基本信息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2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组织机构代码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成立时间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 xml:space="preserve">国有 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 xml:space="preserve">民营 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三资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股份制</w:t>
            </w:r>
          </w:p>
        </w:tc>
        <w:tc>
          <w:tcPr>
            <w:tcW w:w="14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注册资本（万元）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72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7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9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手机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9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传真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ar"/>
              </w:rPr>
              <w:t>E-mail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总资产（万元）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信用等级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上年营收（万元）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上年利润（万元）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知识产权情况</w:t>
            </w:r>
          </w:p>
        </w:tc>
        <w:tc>
          <w:tcPr>
            <w:tcW w:w="63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（体现核心竞争力的首台套、专利等涉及的领域和数量）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申报单位简介</w:t>
            </w:r>
          </w:p>
        </w:tc>
        <w:tc>
          <w:tcPr>
            <w:tcW w:w="836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1. </w:t>
            </w:r>
            <w:r>
              <w:rPr>
                <w:rFonts w:hint="eastAsia" w:eastAsia="仿宋"/>
                <w:sz w:val="24"/>
              </w:rPr>
              <w:t>基本情况（不超过</w:t>
            </w:r>
            <w:r>
              <w:rPr>
                <w:rFonts w:eastAsia="仿宋"/>
                <w:sz w:val="24"/>
              </w:rPr>
              <w:t>300</w:t>
            </w:r>
            <w:r>
              <w:rPr>
                <w:rFonts w:hint="eastAsia" w:eastAsia="仿宋"/>
                <w:sz w:val="24"/>
              </w:rPr>
              <w:t>字）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发展历程、主营业务、市场销售等方面基本情况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</w:p>
          <w:p>
            <w:pPr>
              <w:ind w:firstLine="360" w:firstLineChars="150"/>
              <w:rPr>
                <w:rFonts w:eastAsia="仿宋"/>
                <w:sz w:val="24"/>
              </w:rPr>
            </w:pPr>
          </w:p>
          <w:p>
            <w:pPr>
              <w:ind w:firstLine="360" w:firstLineChars="150"/>
              <w:rPr>
                <w:rFonts w:eastAsia="仿宋"/>
                <w:sz w:val="24"/>
              </w:rPr>
            </w:pP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2. </w:t>
            </w:r>
            <w:r>
              <w:rPr>
                <w:rFonts w:hint="eastAsia" w:eastAsia="仿宋"/>
                <w:sz w:val="24"/>
              </w:rPr>
              <w:t>核心能力（不超过</w:t>
            </w:r>
            <w:r>
              <w:rPr>
                <w:rFonts w:eastAsia="仿宋"/>
                <w:sz w:val="24"/>
              </w:rPr>
              <w:t>500</w:t>
            </w:r>
            <w:r>
              <w:rPr>
                <w:rFonts w:hint="eastAsia" w:eastAsia="仿宋"/>
                <w:sz w:val="24"/>
              </w:rPr>
              <w:t>字）</w:t>
            </w:r>
          </w:p>
          <w:p>
            <w:pPr>
              <w:ind w:firstLine="360" w:firstLineChars="150"/>
              <w:rPr>
                <w:sz w:val="28"/>
                <w:szCs w:val="28"/>
              </w:rPr>
            </w:pPr>
            <w:r>
              <w:rPr>
                <w:rFonts w:hint="eastAsia" w:eastAsia="仿宋"/>
                <w:sz w:val="24"/>
              </w:rPr>
              <w:t>在技术创新、行业深耕、应用实施等方面的核心竞争力</w:t>
            </w:r>
          </w:p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8"/>
                <w:szCs w:val="28"/>
              </w:rPr>
            </w:pPr>
          </w:p>
          <w:p>
            <w:pPr>
              <w:pStyle w:val="8"/>
              <w:spacing w:after="120"/>
              <w:ind w:left="4480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8"/>
              <w:spacing w:after="120"/>
              <w:ind w:left="4480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8"/>
              <w:spacing w:after="120"/>
              <w:ind w:left="4480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pStyle w:val="8"/>
              <w:spacing w:after="120"/>
              <w:ind w:left="448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bidi="ar"/>
              </w:rPr>
              <w:t>（二）解决方案基本信息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申报方向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（限选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个）</w:t>
            </w:r>
          </w:p>
        </w:tc>
        <w:tc>
          <w:tcPr>
            <w:tcW w:w="72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平台应用示范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□工业互联网平台</w:t>
            </w:r>
            <w:r>
              <w:rPr>
                <w:rFonts w:eastAsia="仿宋"/>
                <w:sz w:val="24"/>
              </w:rPr>
              <w:t>+</w:t>
            </w:r>
            <w:r>
              <w:rPr>
                <w:rFonts w:hint="eastAsia" w:eastAsia="仿宋"/>
                <w:sz w:val="24"/>
              </w:rPr>
              <w:t>安全生产解决方案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□工业互联网平台</w:t>
            </w:r>
            <w:r>
              <w:rPr>
                <w:rFonts w:eastAsia="仿宋"/>
                <w:sz w:val="24"/>
              </w:rPr>
              <w:t>+</w:t>
            </w:r>
            <w:r>
              <w:rPr>
                <w:rFonts w:hint="eastAsia" w:eastAsia="仿宋"/>
                <w:sz w:val="24"/>
              </w:rPr>
              <w:t>绿色低碳解决方案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□工业互联网平台</w:t>
            </w:r>
            <w:r>
              <w:rPr>
                <w:rFonts w:eastAsia="仿宋"/>
                <w:sz w:val="24"/>
              </w:rPr>
              <w:t>+</w:t>
            </w:r>
            <w:r>
              <w:rPr>
                <w:rFonts w:hint="eastAsia" w:eastAsia="仿宋"/>
                <w:sz w:val="24"/>
              </w:rPr>
              <w:t>质量管理解决方案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□工业互联网平台</w:t>
            </w:r>
            <w:r>
              <w:rPr>
                <w:rFonts w:eastAsia="仿宋"/>
                <w:sz w:val="24"/>
              </w:rPr>
              <w:t>+</w:t>
            </w:r>
            <w:r>
              <w:rPr>
                <w:rFonts w:hint="eastAsia" w:eastAsia="仿宋"/>
                <w:sz w:val="24"/>
              </w:rPr>
              <w:t>供应链协同解决方案</w:t>
            </w:r>
          </w:p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解决方案名称</w:t>
            </w:r>
          </w:p>
        </w:tc>
        <w:tc>
          <w:tcPr>
            <w:tcW w:w="72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解决方案研发投资（万元）</w:t>
            </w:r>
          </w:p>
        </w:tc>
        <w:tc>
          <w:tcPr>
            <w:tcW w:w="72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解决方案复制推广的部署成本（万元）</w:t>
            </w:r>
          </w:p>
        </w:tc>
        <w:tc>
          <w:tcPr>
            <w:tcW w:w="26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解决方案复制推广的部署周期（天）</w:t>
            </w:r>
          </w:p>
        </w:tc>
        <w:tc>
          <w:tcPr>
            <w:tcW w:w="25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before="62" w:beforeLines="20"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应用场景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□安全事件分析预警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□危险区域监测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□生产设备故障识别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□人员追踪管理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□绿色集约生产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□能源动态配置</w:t>
            </w:r>
          </w:p>
        </w:tc>
        <w:tc>
          <w:tcPr>
            <w:tcW w:w="273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□能耗和排放管控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□研发设计优化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□生产质量控制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□质量检测检验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□采购管理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□原材料及产品溯源</w:t>
            </w:r>
          </w:p>
          <w:p>
            <w:pPr>
              <w:ind w:left="440" w:leftChars="100" w:hanging="120" w:hangingChars="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□仓储物流调度跟踪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ind w:firstLine="360" w:firstLineChars="150"/>
              <w:rPr>
                <w:sz w:val="28"/>
                <w:szCs w:val="28"/>
              </w:rPr>
            </w:pPr>
            <w:r>
              <w:rPr>
                <w:rFonts w:hint="eastAsia" w:eastAsia="仿宋"/>
                <w:sz w:val="24"/>
              </w:rPr>
              <w:t>□库存管理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6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□其他</w:t>
            </w:r>
            <w:r>
              <w:rPr>
                <w:rFonts w:eastAsia="仿宋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before="62" w:beforeLines="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bidi="ar"/>
              </w:rPr>
              <w:t>解决方案简述</w:t>
            </w:r>
          </w:p>
        </w:tc>
        <w:tc>
          <w:tcPr>
            <w:tcW w:w="72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（解决方案必要性、创新性、有效性、可推广性的简要描述，不超过</w:t>
            </w:r>
            <w:r>
              <w:rPr>
                <w:rFonts w:eastAsia="仿宋"/>
                <w:sz w:val="24"/>
              </w:rPr>
              <w:t>1000</w:t>
            </w:r>
            <w:r>
              <w:rPr>
                <w:rFonts w:hint="eastAsia" w:eastAsia="仿宋"/>
                <w:sz w:val="24"/>
              </w:rPr>
              <w:t>字）</w:t>
            </w:r>
          </w:p>
          <w:p>
            <w:pPr>
              <w:pStyle w:val="8"/>
              <w:widowControl w:val="0"/>
              <w:spacing w:before="0" w:after="120"/>
              <w:ind w:left="4480" w:firstLine="360" w:firstLineChars="150"/>
              <w:jc w:val="both"/>
              <w:rPr>
                <w:rFonts w:ascii="Times New Roman" w:hAnsi="Times New Roman" w:eastAsia="仿宋" w:cs="Times New Roman"/>
                <w:kern w:val="2"/>
                <w:szCs w:val="20"/>
              </w:rPr>
            </w:pPr>
          </w:p>
          <w:p>
            <w:pPr>
              <w:pStyle w:val="8"/>
              <w:widowControl w:val="0"/>
              <w:spacing w:before="0" w:after="120"/>
              <w:ind w:left="4480" w:firstLine="360" w:firstLineChars="150"/>
              <w:jc w:val="both"/>
              <w:rPr>
                <w:rFonts w:eastAsia="仿宋"/>
                <w:szCs w:val="20"/>
              </w:rPr>
            </w:pPr>
          </w:p>
        </w:tc>
      </w:tr>
    </w:tbl>
    <w:p>
      <w:pPr>
        <w:spacing w:line="592" w:lineRule="exact"/>
        <w:rPr>
          <w:b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napToGrid w:val="0"/>
        <w:spacing w:line="592" w:lineRule="exact"/>
        <w:ind w:firstLine="642" w:firstLineChars="200"/>
        <w:rPr>
          <w:b/>
        </w:rPr>
      </w:pPr>
      <w:r>
        <w:rPr>
          <w:rFonts w:hint="eastAsia"/>
          <w:b/>
          <w:lang w:bidi="ar"/>
        </w:rPr>
        <w:t>二、解决方案应用场景介绍</w:t>
      </w:r>
    </w:p>
    <w:p>
      <w:pPr>
        <w:widowControl/>
        <w:spacing w:line="592" w:lineRule="exact"/>
        <w:ind w:firstLine="640" w:firstLineChars="200"/>
        <w:rPr>
          <w:kern w:val="0"/>
        </w:rPr>
      </w:pPr>
      <w:r>
        <w:rPr>
          <w:rFonts w:hint="eastAsia" w:eastAsia="仿宋"/>
          <w:lang w:bidi="ar"/>
        </w:rPr>
        <w:t>从</w:t>
      </w:r>
      <w:r>
        <w:rPr>
          <w:rFonts w:hint="eastAsia"/>
          <w:kern w:val="0"/>
          <w:lang w:bidi="ar"/>
        </w:rPr>
        <w:t>工业场景角度进行描述。</w:t>
      </w:r>
    </w:p>
    <w:p>
      <w:pPr>
        <w:widowControl/>
        <w:spacing w:line="592" w:lineRule="exact"/>
        <w:ind w:firstLine="600"/>
        <w:rPr>
          <w:kern w:val="0"/>
        </w:rPr>
      </w:pPr>
      <w:r>
        <w:rPr>
          <w:rFonts w:hint="eastAsia"/>
          <w:kern w:val="0"/>
          <w:lang w:bidi="ar"/>
        </w:rPr>
        <w:t>（一）应用场景介绍（行业、流程环节）</w:t>
      </w:r>
    </w:p>
    <w:p>
      <w:pPr>
        <w:widowControl/>
        <w:spacing w:line="592" w:lineRule="exact"/>
        <w:ind w:firstLine="600"/>
        <w:rPr>
          <w:kern w:val="0"/>
        </w:rPr>
      </w:pPr>
      <w:r>
        <w:rPr>
          <w:rFonts w:hint="eastAsia"/>
          <w:kern w:val="0"/>
          <w:lang w:bidi="ar"/>
        </w:rPr>
        <w:t>（二）应用场景的普适性（行业内外的适用性）</w:t>
      </w:r>
    </w:p>
    <w:p>
      <w:pPr>
        <w:widowControl/>
        <w:spacing w:line="592" w:lineRule="exact"/>
        <w:ind w:firstLine="600"/>
        <w:rPr>
          <w:b/>
        </w:rPr>
      </w:pPr>
      <w:r>
        <w:rPr>
          <w:rFonts w:hint="eastAsia"/>
          <w:kern w:val="0"/>
          <w:lang w:bidi="ar"/>
        </w:rPr>
        <w:t>（三）应用场景的主要问题（用户痛点、行业挑战）</w:t>
      </w:r>
    </w:p>
    <w:p>
      <w:pPr>
        <w:widowControl/>
        <w:snapToGrid w:val="0"/>
        <w:spacing w:line="592" w:lineRule="exact"/>
        <w:ind w:firstLine="642" w:firstLineChars="200"/>
        <w:rPr>
          <w:b/>
        </w:rPr>
      </w:pPr>
      <w:r>
        <w:rPr>
          <w:rFonts w:hint="eastAsia"/>
          <w:b/>
          <w:lang w:bidi="ar"/>
        </w:rPr>
        <w:t>三、解决方案基本情况</w:t>
      </w:r>
    </w:p>
    <w:p>
      <w:pPr>
        <w:widowControl/>
        <w:spacing w:line="592" w:lineRule="exact"/>
        <w:ind w:firstLine="640" w:firstLineChars="200"/>
      </w:pPr>
      <w:r>
        <w:rPr>
          <w:rFonts w:hint="eastAsia"/>
          <w:lang w:bidi="ar"/>
        </w:rPr>
        <w:t>从工业互联网平台解决方案的角度描述，须符合要素条件申报要求。</w:t>
      </w:r>
    </w:p>
    <w:p>
      <w:pPr>
        <w:widowControl/>
        <w:spacing w:line="592" w:lineRule="exact"/>
        <w:ind w:firstLine="640" w:firstLineChars="200"/>
      </w:pPr>
      <w:r>
        <w:rPr>
          <w:rFonts w:hint="eastAsia"/>
          <w:lang w:bidi="ar"/>
        </w:rPr>
        <w:t>（一）解决方案概述（背景介绍、需求分析、解决方案目的）</w:t>
      </w:r>
    </w:p>
    <w:p>
      <w:pPr>
        <w:widowControl/>
        <w:spacing w:line="592" w:lineRule="exact"/>
        <w:ind w:firstLine="640" w:firstLineChars="200"/>
      </w:pPr>
      <w:r>
        <w:rPr>
          <w:rFonts w:hint="eastAsia"/>
          <w:lang w:bidi="ar"/>
        </w:rPr>
        <w:t>（二）解决方案的创新性（与国内外同行业先进水平的对比）</w:t>
      </w:r>
    </w:p>
    <w:p>
      <w:pPr>
        <w:widowControl/>
        <w:spacing w:line="592" w:lineRule="exact"/>
        <w:ind w:firstLine="640" w:firstLineChars="200"/>
      </w:pPr>
      <w:r>
        <w:rPr>
          <w:rFonts w:hint="eastAsia"/>
          <w:lang w:bidi="ar"/>
        </w:rPr>
        <w:t>（三）解决方案的可推广性（解决方案的可行性及预期推广效果）</w:t>
      </w:r>
    </w:p>
    <w:p>
      <w:pPr>
        <w:widowControl/>
        <w:spacing w:line="592" w:lineRule="exact"/>
        <w:ind w:firstLine="642" w:firstLineChars="200"/>
      </w:pPr>
      <w:r>
        <w:rPr>
          <w:rFonts w:hint="eastAsia"/>
          <w:b/>
          <w:lang w:bidi="ar"/>
        </w:rPr>
        <w:t>四、解决方案内容</w:t>
      </w:r>
    </w:p>
    <w:p>
      <w:pPr>
        <w:widowControl/>
        <w:spacing w:line="592" w:lineRule="exact"/>
        <w:ind w:firstLine="640" w:firstLineChars="200"/>
      </w:pPr>
      <w:r>
        <w:rPr>
          <w:rFonts w:hint="eastAsia"/>
          <w:lang w:bidi="ar"/>
        </w:rPr>
        <w:t>（一）解决方案主体、服务对象及适用场景</w:t>
      </w:r>
    </w:p>
    <w:p>
      <w:pPr>
        <w:widowControl/>
        <w:spacing w:line="592" w:lineRule="exact"/>
        <w:ind w:firstLine="640" w:firstLineChars="200"/>
      </w:pPr>
      <w:r>
        <w:rPr>
          <w:rFonts w:hint="eastAsia"/>
          <w:lang w:bidi="ar"/>
        </w:rPr>
        <w:t>（二）解决方案技术方案与实施内容</w:t>
      </w:r>
    </w:p>
    <w:p>
      <w:pPr>
        <w:widowControl/>
        <w:spacing w:line="592" w:lineRule="exact"/>
        <w:ind w:firstLine="640" w:firstLineChars="200"/>
        <w:rPr>
          <w:lang w:bidi="ar"/>
        </w:rPr>
      </w:pPr>
      <w:r>
        <w:rPr>
          <w:rFonts w:hint="eastAsia"/>
          <w:lang w:bidi="ar"/>
        </w:rPr>
        <w:t>（三）解决方案实施成效（解决方案实施前与实施后效果比较）</w:t>
      </w:r>
    </w:p>
    <w:p>
      <w:pPr>
        <w:widowControl/>
        <w:spacing w:line="592" w:lineRule="exact"/>
        <w:ind w:firstLine="642" w:firstLineChars="200"/>
        <w:rPr>
          <w:b/>
        </w:rPr>
      </w:pPr>
      <w:r>
        <w:rPr>
          <w:rFonts w:hint="eastAsia"/>
          <w:b/>
          <w:lang w:bidi="ar"/>
        </w:rPr>
        <w:t>五、示范作用</w:t>
      </w:r>
    </w:p>
    <w:p>
      <w:pPr>
        <w:widowControl/>
        <w:spacing w:line="592" w:lineRule="exact"/>
        <w:ind w:firstLine="420"/>
        <w:rPr>
          <w:lang w:bidi="ar"/>
        </w:rPr>
      </w:pPr>
      <w:r>
        <w:rPr>
          <w:rFonts w:hint="eastAsia"/>
          <w:lang w:bidi="ar"/>
        </w:rPr>
        <w:t>（突出解决方案实施中的典型经验和做法，以及对典型行业和区域内开展同类业务的可复制性和示范价值。）</w:t>
      </w:r>
    </w:p>
    <w:p>
      <w:pPr>
        <w:widowControl/>
        <w:spacing w:line="592" w:lineRule="exact"/>
        <w:ind w:firstLine="642" w:firstLineChars="200"/>
        <w:rPr>
          <w:b/>
          <w:lang w:bidi="ar"/>
        </w:rPr>
      </w:pPr>
      <w:r>
        <w:rPr>
          <w:rFonts w:hint="eastAsia"/>
          <w:b/>
          <w:lang w:bidi="ar"/>
        </w:rPr>
        <w:t>六、应用案例</w:t>
      </w:r>
    </w:p>
    <w:p>
      <w:pPr>
        <w:pStyle w:val="3"/>
        <w:spacing w:after="0" w:line="592" w:lineRule="exact"/>
        <w:rPr>
          <w:lang w:bidi="ar"/>
        </w:rPr>
      </w:pPr>
      <w:r>
        <w:t xml:space="preserve">     </w:t>
      </w:r>
      <w:r>
        <w:rPr>
          <w:rFonts w:hint="eastAsia"/>
          <w:lang w:bidi="ar"/>
        </w:rPr>
        <w:t>（请提供至少</w:t>
      </w:r>
      <w:r>
        <w:rPr>
          <w:lang w:bidi="ar"/>
        </w:rPr>
        <w:t>1</w:t>
      </w:r>
      <w:r>
        <w:rPr>
          <w:rFonts w:hint="eastAsia"/>
          <w:lang w:bidi="ar"/>
        </w:rPr>
        <w:t>个解决方案在具体用户企业中的应用案例，如申请工业互联网</w:t>
      </w:r>
      <w:r>
        <w:rPr>
          <w:lang w:bidi="ar"/>
        </w:rPr>
        <w:t>+</w:t>
      </w:r>
      <w:r>
        <w:rPr>
          <w:rFonts w:hint="eastAsia"/>
          <w:lang w:bidi="ar"/>
        </w:rPr>
        <w:t>园区</w:t>
      </w:r>
      <w:r>
        <w:rPr>
          <w:lang w:bidi="ar"/>
        </w:rPr>
        <w:t>/</w:t>
      </w:r>
      <w:r>
        <w:rPr>
          <w:rFonts w:hint="eastAsia"/>
          <w:lang w:bidi="ar"/>
        </w:rPr>
        <w:t>产业集群解决方案方向，则仅需提供一个最具代表性的园区</w:t>
      </w:r>
      <w:r>
        <w:rPr>
          <w:lang w:bidi="ar"/>
        </w:rPr>
        <w:t>/</w:t>
      </w:r>
      <w:r>
        <w:rPr>
          <w:rFonts w:hint="eastAsia"/>
          <w:lang w:bidi="ar"/>
        </w:rPr>
        <w:t>产业集群案例。）</w:t>
      </w:r>
    </w:p>
    <w:p>
      <w:pPr>
        <w:widowControl/>
        <w:spacing w:line="592" w:lineRule="exact"/>
        <w:ind w:firstLine="640" w:firstLineChars="200"/>
        <w:rPr>
          <w:lang w:bidi="ar"/>
        </w:rPr>
      </w:pPr>
      <w:r>
        <w:rPr>
          <w:rFonts w:hint="eastAsia"/>
          <w:lang w:bidi="ar"/>
        </w:rPr>
        <w:t>（一）案例服务的用户企业（园区</w:t>
      </w:r>
      <w:r>
        <w:rPr>
          <w:lang w:bidi="ar"/>
        </w:rPr>
        <w:t>/</w:t>
      </w:r>
      <w:r>
        <w:rPr>
          <w:rFonts w:hint="eastAsia"/>
          <w:lang w:bidi="ar"/>
        </w:rPr>
        <w:t>产业集群）概述</w:t>
      </w:r>
    </w:p>
    <w:p>
      <w:pPr>
        <w:widowControl/>
        <w:spacing w:line="592" w:lineRule="exact"/>
        <w:ind w:firstLine="640" w:firstLineChars="200"/>
        <w:rPr>
          <w:lang w:bidi="ar"/>
        </w:rPr>
      </w:pPr>
      <w:r>
        <w:rPr>
          <w:rFonts w:hint="eastAsia"/>
          <w:lang w:bidi="ar"/>
        </w:rPr>
        <w:t>（二）具体用户企业（园区</w:t>
      </w:r>
      <w:r>
        <w:rPr>
          <w:lang w:bidi="ar"/>
        </w:rPr>
        <w:t>/</w:t>
      </w:r>
      <w:r>
        <w:rPr>
          <w:rFonts w:hint="eastAsia"/>
          <w:lang w:bidi="ar"/>
        </w:rPr>
        <w:t>产业集群）应用场景（场景现状、用户痛点、实施挑战等）</w:t>
      </w:r>
    </w:p>
    <w:p>
      <w:pPr>
        <w:widowControl/>
        <w:spacing w:line="592" w:lineRule="exact"/>
        <w:ind w:firstLine="640" w:firstLineChars="200"/>
        <w:rPr>
          <w:lang w:bidi="ar"/>
        </w:rPr>
      </w:pPr>
      <w:r>
        <w:rPr>
          <w:rFonts w:hint="eastAsia"/>
          <w:lang w:bidi="ar"/>
        </w:rPr>
        <w:t>（三）针对该用户企业（园区</w:t>
      </w:r>
      <w:r>
        <w:rPr>
          <w:lang w:bidi="ar"/>
        </w:rPr>
        <w:t>/</w:t>
      </w:r>
      <w:r>
        <w:rPr>
          <w:rFonts w:hint="eastAsia"/>
          <w:lang w:bidi="ar"/>
        </w:rPr>
        <w:t>产业集群）的解决方案和实施内容（解决方案的创新性和重要性）</w:t>
      </w:r>
    </w:p>
    <w:p>
      <w:pPr>
        <w:widowControl/>
        <w:spacing w:line="592" w:lineRule="exact"/>
        <w:ind w:firstLine="640" w:firstLineChars="200"/>
        <w:rPr>
          <w:lang w:bidi="ar"/>
        </w:rPr>
      </w:pPr>
      <w:r>
        <w:rPr>
          <w:rFonts w:hint="eastAsia"/>
          <w:lang w:bidi="ar"/>
        </w:rPr>
        <w:t>（四）案例成效（解决方案实施前与实施后效果比较的量化、案例的可复制和推广性）</w:t>
      </w:r>
    </w:p>
    <w:p>
      <w:pPr>
        <w:widowControl/>
        <w:spacing w:line="592" w:lineRule="exact"/>
        <w:ind w:firstLine="642" w:firstLineChars="200"/>
        <w:rPr>
          <w:b/>
        </w:rPr>
      </w:pPr>
      <w:r>
        <w:rPr>
          <w:rFonts w:hint="eastAsia"/>
          <w:b/>
          <w:lang w:bidi="ar"/>
        </w:rPr>
        <w:t>七、未来展望</w:t>
      </w:r>
    </w:p>
    <w:p>
      <w:pPr>
        <w:widowControl/>
        <w:spacing w:line="592" w:lineRule="exact"/>
        <w:ind w:firstLine="640" w:firstLineChars="200"/>
        <w:rPr>
          <w:kern w:val="0"/>
        </w:rPr>
      </w:pPr>
      <w:r>
        <w:rPr>
          <w:rFonts w:hint="eastAsia"/>
          <w:kern w:val="0"/>
          <w:lang w:bidi="ar"/>
        </w:rPr>
        <w:t>（未来发展方向与思路）</w:t>
      </w:r>
    </w:p>
    <w:p>
      <w:pPr>
        <w:widowControl/>
        <w:spacing w:line="592" w:lineRule="exact"/>
        <w:ind w:firstLine="642" w:firstLineChars="200"/>
        <w:rPr>
          <w:b/>
        </w:rPr>
      </w:pPr>
      <w:r>
        <w:rPr>
          <w:rFonts w:hint="eastAsia"/>
          <w:b/>
          <w:lang w:bidi="ar"/>
        </w:rPr>
        <w:t>八、相关附件</w:t>
      </w:r>
    </w:p>
    <w:p>
      <w:pPr>
        <w:widowControl/>
        <w:spacing w:line="592" w:lineRule="exact"/>
        <w:ind w:firstLine="640" w:firstLineChars="200"/>
        <w:rPr>
          <w:bCs/>
        </w:rPr>
      </w:pPr>
      <w:r>
        <w:rPr>
          <w:rFonts w:hint="eastAsia"/>
          <w:bCs/>
        </w:rPr>
        <w:t>附件包括企业专利、获奖证书、解决方案推广合同或发票和其他证明材料（复印件）</w:t>
      </w:r>
    </w:p>
    <w:p>
      <w:pPr>
        <w:pStyle w:val="3"/>
        <w:spacing w:after="0" w:line="592" w:lineRule="exact"/>
        <w:rPr>
          <w:bCs/>
        </w:rPr>
      </w:pPr>
      <w:r>
        <w:rPr>
          <w:bCs/>
        </w:rPr>
        <w:t xml:space="preserve">    </w:t>
      </w:r>
      <w:r>
        <w:rPr>
          <w:rFonts w:hint="eastAsia"/>
          <w:bCs/>
        </w:rPr>
        <w:t>（填报格式说明：请用</w:t>
      </w:r>
      <w:r>
        <w:rPr>
          <w:bCs/>
        </w:rPr>
        <w:t>A4</w:t>
      </w:r>
      <w:r>
        <w:rPr>
          <w:rFonts w:hint="eastAsia"/>
          <w:bCs/>
        </w:rPr>
        <w:t>幅面编辑，正文字体为</w:t>
      </w:r>
      <w:r>
        <w:rPr>
          <w:bCs/>
        </w:rPr>
        <w:t>3</w:t>
      </w:r>
      <w:r>
        <w:rPr>
          <w:rFonts w:hint="eastAsia"/>
          <w:bCs/>
        </w:rPr>
        <w:t>号仿宋体，单倍行距。一级标题</w:t>
      </w:r>
      <w:r>
        <w:rPr>
          <w:bCs/>
        </w:rPr>
        <w:t>3</w:t>
      </w:r>
      <w:r>
        <w:rPr>
          <w:rFonts w:hint="eastAsia"/>
          <w:bCs/>
        </w:rPr>
        <w:t>号黑体，二级标题</w:t>
      </w:r>
      <w:r>
        <w:rPr>
          <w:bCs/>
        </w:rPr>
        <w:t>3</w:t>
      </w:r>
      <w:r>
        <w:rPr>
          <w:rFonts w:hint="eastAsia"/>
          <w:bCs/>
        </w:rPr>
        <w:t>号楷体</w:t>
      </w:r>
      <w:r>
        <w:rPr>
          <w:bCs/>
        </w:rPr>
        <w:t>GB_2312</w:t>
      </w:r>
      <w:r>
        <w:rPr>
          <w:rFonts w:hint="eastAsia"/>
          <w:bCs/>
        </w:rPr>
        <w:t>。）</w:t>
      </w:r>
    </w:p>
    <w:p>
      <w:pPr>
        <w:rPr>
          <w:rFonts w:eastAsia="黑体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right="-509" w:rightChars="-159"/>
        <w:rPr>
          <w:rFonts w:eastAsia="黑体"/>
          <w:color w:val="000000"/>
        </w:rPr>
      </w:pPr>
      <w:r>
        <w:rPr>
          <w:rFonts w:hint="eastAsia" w:eastAsia="黑体"/>
          <w:color w:val="000000"/>
        </w:rPr>
        <w:t>附件4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eastAsia="方正小标宋简体"/>
          <w:color w:val="000000"/>
          <w:sz w:val="52"/>
          <w:szCs w:val="52"/>
        </w:rPr>
        <w:t xml:space="preserve"> </w:t>
      </w:r>
    </w:p>
    <w:p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hint="eastAsia" w:eastAsia="方正小标宋简体"/>
          <w:color w:val="000000"/>
          <w:sz w:val="52"/>
          <w:szCs w:val="52"/>
        </w:rPr>
        <w:t>工业互联网创新应用示范</w:t>
      </w:r>
      <w:r>
        <w:rPr>
          <w:rFonts w:eastAsia="方正小标宋简体"/>
          <w:color w:val="000000"/>
          <w:sz w:val="52"/>
          <w:szCs w:val="52"/>
        </w:rPr>
        <w:t>项目申报书</w:t>
      </w:r>
    </w:p>
    <w:p>
      <w:pPr>
        <w:jc w:val="center"/>
        <w:rPr>
          <w:rFonts w:ascii="楷体" w:hAnsi="楷体" w:eastAsia="楷体"/>
          <w:color w:val="000000"/>
          <w:kern w:val="0"/>
        </w:rPr>
      </w:pPr>
      <w:r>
        <w:rPr>
          <w:rFonts w:hint="eastAsia" w:ascii="楷体" w:hAnsi="楷体" w:eastAsia="楷体"/>
          <w:color w:val="000000"/>
          <w:kern w:val="0"/>
        </w:rPr>
        <w:t>（</w:t>
      </w:r>
      <w:r>
        <w:rPr>
          <w:rFonts w:hint="eastAsia" w:ascii="楷体" w:hAnsi="楷体" w:eastAsia="楷体"/>
        </w:rPr>
        <w:t>新模式应用示范</w:t>
      </w:r>
      <w:r>
        <w:rPr>
          <w:rFonts w:hint="eastAsia" w:ascii="楷体" w:hAnsi="楷体" w:eastAsia="楷体"/>
          <w:color w:val="000000"/>
          <w:kern w:val="0"/>
        </w:rPr>
        <w:t>）</w:t>
      </w:r>
    </w:p>
    <w:p>
      <w:pPr>
        <w:widowControl/>
        <w:autoSpaceDN w:val="0"/>
        <w:ind w:left="1" w:firstLine="320" w:firstLineChars="100"/>
        <w:jc w:val="left"/>
        <w:rPr>
          <w:color w:val="000000"/>
          <w:szCs w:val="21"/>
        </w:rPr>
      </w:pPr>
    </w:p>
    <w:p>
      <w:pPr>
        <w:widowControl/>
        <w:autoSpaceDN w:val="0"/>
        <w:ind w:firstLine="1080" w:firstLineChars="300"/>
        <w:rPr>
          <w:rFonts w:eastAsia="黑体"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1080" w:firstLineChars="3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kern w:val="0"/>
          <w:sz w:val="36"/>
          <w:szCs w:val="21"/>
        </w:rPr>
        <w:t>项目名称：</w:t>
      </w:r>
    </w:p>
    <w:p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>
      <w:pPr>
        <w:spacing w:after="120"/>
        <w:rPr>
          <w:rFonts w:eastAsia="黑体"/>
          <w:b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1080" w:firstLineChars="3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kern w:val="0"/>
          <w:sz w:val="36"/>
          <w:szCs w:val="21"/>
        </w:rPr>
        <w:t>申报单位：</w:t>
      </w:r>
      <w:r>
        <w:rPr>
          <w:rFonts w:eastAsia="黑体"/>
          <w:color w:val="000000"/>
          <w:kern w:val="0"/>
          <w:sz w:val="36"/>
          <w:szCs w:val="21"/>
          <w:u w:val="single"/>
        </w:rPr>
        <w:t xml:space="preserve">                  （盖章）</w:t>
      </w:r>
    </w:p>
    <w:p>
      <w:pPr>
        <w:widowControl/>
        <w:autoSpaceDN w:val="0"/>
        <w:ind w:firstLine="1080" w:firstLineChars="30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kern w:val="0"/>
          <w:sz w:val="36"/>
          <w:szCs w:val="21"/>
        </w:rPr>
        <w:t>联 系 人：</w:t>
      </w:r>
    </w:p>
    <w:p>
      <w:pPr>
        <w:widowControl/>
        <w:autoSpaceDN w:val="0"/>
        <w:ind w:firstLine="1080" w:firstLineChars="300"/>
        <w:rPr>
          <w:rFonts w:eastAsia="黑体"/>
          <w:color w:val="000000"/>
          <w:szCs w:val="21"/>
          <w:u w:val="single"/>
        </w:rPr>
      </w:pPr>
      <w:r>
        <w:rPr>
          <w:rFonts w:eastAsia="黑体"/>
          <w:color w:val="000000"/>
          <w:kern w:val="0"/>
          <w:sz w:val="36"/>
          <w:szCs w:val="21"/>
        </w:rPr>
        <w:t>联系电话：</w:t>
      </w:r>
    </w:p>
    <w:p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>
      <w:pPr>
        <w:widowControl/>
        <w:autoSpaceDN w:val="0"/>
        <w:ind w:firstLine="723"/>
        <w:jc w:val="center"/>
        <w:rPr>
          <w:rFonts w:eastAsia="黑体"/>
          <w:bCs/>
          <w:color w:val="000000"/>
          <w:kern w:val="0"/>
          <w:sz w:val="36"/>
          <w:szCs w:val="21"/>
        </w:rPr>
      </w:pPr>
      <w:r>
        <w:rPr>
          <w:rFonts w:eastAsia="黑体"/>
          <w:color w:val="000000"/>
          <w:kern w:val="0"/>
          <w:sz w:val="36"/>
          <w:szCs w:val="21"/>
        </w:rPr>
        <w:t>年  月</w:t>
      </w:r>
    </w:p>
    <w:p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</w:p>
    <w:p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</w:p>
    <w:p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</w:p>
    <w:p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</w:p>
    <w:p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</w:p>
    <w:p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</w:p>
    <w:p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</w:p>
    <w:p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  <w:r>
        <w:rPr>
          <w:rFonts w:eastAsia="方正小标宋简体"/>
          <w:color w:val="000000"/>
          <w:sz w:val="44"/>
          <w:szCs w:val="36"/>
        </w:rPr>
        <w:t>填 写 说 明</w:t>
      </w:r>
    </w:p>
    <w:p>
      <w:pPr>
        <w:spacing w:line="592" w:lineRule="exact"/>
        <w:ind w:firstLine="640" w:firstLineChars="200"/>
        <w:rPr>
          <w:rFonts w:eastAsia="黑体"/>
          <w:color w:val="000000"/>
        </w:rPr>
      </w:pPr>
    </w:p>
    <w:p>
      <w:pPr>
        <w:overflowPunct w:val="0"/>
        <w:spacing w:line="592" w:lineRule="exact"/>
        <w:ind w:firstLine="640" w:firstLineChars="200"/>
        <w:rPr>
          <w:color w:val="000000"/>
        </w:rPr>
      </w:pPr>
      <w:r>
        <w:rPr>
          <w:color w:val="000000"/>
        </w:rPr>
        <w:t>一、填写单位应仔细阅读申报要求，如实、详细地填写每一部分内容。</w:t>
      </w:r>
    </w:p>
    <w:p>
      <w:pPr>
        <w:overflowPunct w:val="0"/>
        <w:spacing w:line="592" w:lineRule="exact"/>
        <w:ind w:firstLine="640" w:firstLineChars="200"/>
        <w:rPr>
          <w:color w:val="000000"/>
        </w:rPr>
      </w:pPr>
      <w:r>
        <w:rPr>
          <w:color w:val="000000"/>
        </w:rPr>
        <w:t>二、填写单位应对提供的全部资料的真实性负责。</w:t>
      </w:r>
    </w:p>
    <w:p>
      <w:pPr>
        <w:overflowPunct w:val="0"/>
        <w:spacing w:line="592" w:lineRule="exact"/>
        <w:ind w:firstLine="640" w:firstLineChars="200"/>
        <w:rPr>
          <w:color w:val="000000"/>
        </w:rPr>
      </w:pPr>
      <w:r>
        <w:rPr>
          <w:color w:val="000000"/>
        </w:rPr>
        <w:t>三、填写材料要求描述详实、重点突出、表述准确、逻辑性强、具有较强可读性（尽可能结合图、表等表达方式），既包括创新应用实践，又涵盖示范推广价值，杜绝虚构和夸大。</w:t>
      </w:r>
    </w:p>
    <w:p>
      <w:pPr>
        <w:ind w:right="-509" w:rightChars="-159"/>
        <w:jc w:val="center"/>
        <w:rPr>
          <w:rFonts w:eastAsia="黑体"/>
          <w:color w:val="000000"/>
        </w:rPr>
      </w:pPr>
      <w:r>
        <w:rPr>
          <w:color w:val="000000"/>
        </w:rPr>
        <w:br w:type="page"/>
      </w:r>
      <w:r>
        <w:rPr>
          <w:rFonts w:eastAsia="方正小标宋简体"/>
          <w:sz w:val="44"/>
          <w:szCs w:val="44"/>
        </w:rPr>
        <w:t>项 目 简 表</w:t>
      </w:r>
    </w:p>
    <w:tbl>
      <w:tblPr>
        <w:tblStyle w:val="10"/>
        <w:tblW w:w="92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663"/>
        <w:gridCol w:w="1259"/>
        <w:gridCol w:w="1037"/>
        <w:gridCol w:w="1150"/>
        <w:gridCol w:w="516"/>
        <w:gridCol w:w="17"/>
        <w:gridCol w:w="1333"/>
        <w:gridCol w:w="484"/>
        <w:gridCol w:w="1050"/>
        <w:gridCol w:w="1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申报企业基本信息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企业名称</w:t>
            </w:r>
          </w:p>
        </w:tc>
        <w:tc>
          <w:tcPr>
            <w:tcW w:w="67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法人代表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组织机构代码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注册地址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单位性质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 xml:space="preserve">国有 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 xml:space="preserve">民营 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三资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股份制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联系地址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联系人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电话及手机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传真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电子邮箱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截至上年末的主营业务收入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员工总数</w:t>
            </w:r>
          </w:p>
        </w:tc>
        <w:tc>
          <w:tcPr>
            <w:tcW w:w="2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所属行业</w:t>
            </w:r>
          </w:p>
        </w:tc>
        <w:tc>
          <w:tcPr>
            <w:tcW w:w="6717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信息化部门名称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部门人数</w:t>
            </w:r>
          </w:p>
        </w:tc>
        <w:tc>
          <w:tcPr>
            <w:tcW w:w="266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申报项目的基本情况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项目名称</w:t>
            </w:r>
          </w:p>
        </w:tc>
        <w:tc>
          <w:tcPr>
            <w:tcW w:w="671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项目方向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（每个项目选择一个方向）</w:t>
            </w:r>
          </w:p>
        </w:tc>
        <w:tc>
          <w:tcPr>
            <w:tcW w:w="671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新模式应用示范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□平台化设计</w:t>
            </w:r>
          </w:p>
          <w:p>
            <w:pPr>
              <w:ind w:firstLine="360" w:firstLineChars="15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□个性化定制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□智能化</w:t>
            </w:r>
            <w:r>
              <w:rPr>
                <w:rFonts w:hint="eastAsia" w:eastAsia="仿宋"/>
                <w:sz w:val="24"/>
              </w:rPr>
              <w:t>制造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□网络化协同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□服务化延伸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□数字化管理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</w:t>
            </w:r>
            <w:r>
              <w:rPr>
                <w:rFonts w:hint="eastAsia" w:eastAsia="仿宋"/>
                <w:sz w:val="24"/>
              </w:rPr>
              <w:t>单位</w:t>
            </w:r>
            <w:r>
              <w:rPr>
                <w:rFonts w:eastAsia="仿宋"/>
                <w:sz w:val="24"/>
              </w:rPr>
              <w:t>简介</w:t>
            </w:r>
          </w:p>
        </w:tc>
        <w:tc>
          <w:tcPr>
            <w:tcW w:w="671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 基本情况（不超过300字）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发展历程、主营业务、市场销售等方面基本情况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 核心能力（不超过</w:t>
            </w:r>
            <w:r>
              <w:rPr>
                <w:rFonts w:hint="eastAsia" w:eastAsia="仿宋"/>
                <w:sz w:val="24"/>
              </w:rPr>
              <w:t>3</w:t>
            </w:r>
            <w:r>
              <w:rPr>
                <w:rFonts w:eastAsia="仿宋"/>
                <w:sz w:val="24"/>
              </w:rPr>
              <w:t>00字）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在技术创新、行业深耕、应用实施等方面的核心竞争力</w:t>
            </w:r>
          </w:p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项目简述</w:t>
            </w:r>
          </w:p>
        </w:tc>
        <w:tc>
          <w:tcPr>
            <w:tcW w:w="671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eastAsia="仿宋"/>
                <w:sz w:val="24"/>
              </w:rPr>
              <w:t>（项目的</w:t>
            </w:r>
            <w:r>
              <w:rPr>
                <w:rFonts w:hint="eastAsia" w:eastAsia="仿宋"/>
                <w:sz w:val="24"/>
              </w:rPr>
              <w:t>起止时间、</w:t>
            </w:r>
            <w:r>
              <w:rPr>
                <w:rFonts w:eastAsia="仿宋"/>
                <w:sz w:val="24"/>
              </w:rPr>
              <w:t>创新性、有效性、可推广度进行简要描述，不超过</w:t>
            </w:r>
            <w:r>
              <w:rPr>
                <w:rFonts w:hint="eastAsia" w:eastAsia="仿宋"/>
                <w:sz w:val="24"/>
              </w:rPr>
              <w:t>5</w:t>
            </w:r>
            <w:r>
              <w:rPr>
                <w:rFonts w:eastAsia="仿宋"/>
                <w:sz w:val="24"/>
              </w:rPr>
              <w:t>00字）</w:t>
            </w:r>
          </w:p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项目投资情况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总投资（万元）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其中：自动化设备购置与改造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信息化软硬件购置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系统开发与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服务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其他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资金来源（万元）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银行贷款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自有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229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其他资金</w:t>
            </w:r>
          </w:p>
        </w:tc>
        <w:tc>
          <w:tcPr>
            <w:tcW w:w="399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</w:tbl>
    <w:p>
      <w:pPr>
        <w:ind w:right="-509" w:rightChars="-159"/>
        <w:rPr>
          <w:rFonts w:eastAsia="黑体"/>
          <w:color w:val="000000"/>
        </w:rPr>
      </w:pPr>
    </w:p>
    <w:p>
      <w:pPr>
        <w:spacing w:line="592" w:lineRule="exact"/>
        <w:ind w:firstLine="642" w:firstLineChars="200"/>
        <w:jc w:val="left"/>
        <w:rPr>
          <w:b/>
        </w:rPr>
      </w:pPr>
      <w:r>
        <w:rPr>
          <w:b/>
        </w:rPr>
        <w:t>二、项目基本情况</w:t>
      </w:r>
    </w:p>
    <w:p>
      <w:pPr>
        <w:spacing w:line="592" w:lineRule="exact"/>
        <w:ind w:firstLine="640" w:firstLineChars="200"/>
        <w:rPr>
          <w:bCs/>
        </w:rPr>
      </w:pPr>
      <w:r>
        <w:rPr>
          <w:bCs/>
        </w:rPr>
        <w:t>（一）项目</w:t>
      </w:r>
      <w:r>
        <w:rPr>
          <w:rFonts w:hint="eastAsia"/>
          <w:bCs/>
        </w:rPr>
        <w:t>建设背景和意义</w:t>
      </w:r>
    </w:p>
    <w:p>
      <w:pPr>
        <w:spacing w:line="592" w:lineRule="exact"/>
        <w:ind w:firstLine="640" w:firstLineChars="200"/>
        <w:rPr>
          <w:bCs/>
        </w:rPr>
      </w:pPr>
      <w:r>
        <w:rPr>
          <w:bCs/>
        </w:rPr>
        <w:t>（二）</w:t>
      </w:r>
      <w:r>
        <w:rPr>
          <w:rFonts w:hint="eastAsia"/>
          <w:bCs/>
        </w:rPr>
        <w:t>项目建设目标和主要任务</w:t>
      </w:r>
    </w:p>
    <w:p>
      <w:pPr>
        <w:spacing w:line="592" w:lineRule="exact"/>
        <w:ind w:firstLine="640" w:firstLineChars="200"/>
        <w:rPr>
          <w:bCs/>
        </w:rPr>
      </w:pPr>
      <w:r>
        <w:rPr>
          <w:rFonts w:hint="eastAsia"/>
          <w:bCs/>
        </w:rPr>
        <w:t>（三）项目价值</w:t>
      </w:r>
    </w:p>
    <w:p>
      <w:pPr>
        <w:spacing w:line="592" w:lineRule="exact"/>
        <w:ind w:firstLine="640" w:firstLineChars="200"/>
        <w:rPr>
          <w:bCs/>
        </w:rPr>
      </w:pPr>
      <w:r>
        <w:rPr>
          <w:rFonts w:hint="eastAsia"/>
          <w:bCs/>
        </w:rPr>
        <w:t>项目创新</w:t>
      </w:r>
      <w:r>
        <w:rPr>
          <w:bCs/>
        </w:rPr>
        <w:t>性（</w:t>
      </w:r>
      <w:r>
        <w:rPr>
          <w:rFonts w:hint="eastAsia"/>
          <w:bCs/>
        </w:rPr>
        <w:t>首创、首用、首发</w:t>
      </w:r>
      <w:r>
        <w:rPr>
          <w:bCs/>
        </w:rPr>
        <w:t>的技术</w:t>
      </w:r>
      <w:r>
        <w:rPr>
          <w:rFonts w:hint="eastAsia"/>
          <w:bCs/>
        </w:rPr>
        <w:t>、</w:t>
      </w:r>
      <w:r>
        <w:rPr>
          <w:bCs/>
        </w:rPr>
        <w:t>应用</w:t>
      </w:r>
      <w:r>
        <w:rPr>
          <w:rFonts w:hint="eastAsia"/>
          <w:bCs/>
        </w:rPr>
        <w:t>、</w:t>
      </w:r>
      <w:r>
        <w:rPr>
          <w:bCs/>
        </w:rPr>
        <w:t>模式等）</w:t>
      </w:r>
    </w:p>
    <w:p>
      <w:pPr>
        <w:spacing w:line="592" w:lineRule="exact"/>
        <w:ind w:firstLine="640" w:firstLineChars="200"/>
        <w:rPr>
          <w:bCs/>
        </w:rPr>
      </w:pPr>
      <w:r>
        <w:rPr>
          <w:bCs/>
        </w:rPr>
        <w:t>项目先进性（与国内先进水平的比较）</w:t>
      </w:r>
    </w:p>
    <w:p>
      <w:pPr>
        <w:spacing w:line="592" w:lineRule="exact"/>
        <w:ind w:firstLine="640" w:firstLineChars="200"/>
        <w:rPr>
          <w:bCs/>
        </w:rPr>
      </w:pPr>
      <w:r>
        <w:rPr>
          <w:rFonts w:hint="eastAsia"/>
          <w:bCs/>
        </w:rPr>
        <w:t>项目可推广</w:t>
      </w:r>
      <w:r>
        <w:rPr>
          <w:bCs/>
        </w:rPr>
        <w:t>性（</w:t>
      </w:r>
      <w:r>
        <w:rPr>
          <w:rFonts w:hint="eastAsia"/>
          <w:bCs/>
        </w:rPr>
        <w:t>项目</w:t>
      </w:r>
      <w:r>
        <w:rPr>
          <w:bCs/>
        </w:rPr>
        <w:t>的成熟度</w:t>
      </w:r>
      <w:r>
        <w:rPr>
          <w:rFonts w:hint="eastAsia"/>
          <w:bCs/>
        </w:rPr>
        <w:t>及</w:t>
      </w:r>
      <w:r>
        <w:rPr>
          <w:bCs/>
        </w:rPr>
        <w:t>推广</w:t>
      </w:r>
      <w:r>
        <w:rPr>
          <w:rFonts w:hint="eastAsia"/>
          <w:bCs/>
        </w:rPr>
        <w:t>价值</w:t>
      </w:r>
      <w:r>
        <w:rPr>
          <w:bCs/>
        </w:rPr>
        <w:t>）</w:t>
      </w:r>
    </w:p>
    <w:p>
      <w:pPr>
        <w:spacing w:line="592" w:lineRule="exact"/>
        <w:ind w:firstLine="642" w:firstLineChars="200"/>
        <w:outlineLvl w:val="0"/>
        <w:rPr>
          <w:bCs/>
        </w:rPr>
      </w:pPr>
      <w:r>
        <w:rPr>
          <w:b/>
        </w:rPr>
        <w:t>三、项目内容</w:t>
      </w:r>
      <w:r>
        <w:rPr>
          <w:rFonts w:hint="eastAsia"/>
          <w:b/>
        </w:rPr>
        <w:t>与成效</w:t>
      </w:r>
    </w:p>
    <w:p>
      <w:pPr>
        <w:spacing w:line="592" w:lineRule="exact"/>
        <w:ind w:firstLine="640" w:firstLineChars="200"/>
        <w:rPr>
          <w:bCs/>
        </w:rPr>
      </w:pPr>
      <w:r>
        <w:rPr>
          <w:bCs/>
        </w:rPr>
        <w:t>（</w:t>
      </w:r>
      <w:r>
        <w:rPr>
          <w:rFonts w:hint="eastAsia"/>
          <w:bCs/>
        </w:rPr>
        <w:t>一</w:t>
      </w:r>
      <w:r>
        <w:rPr>
          <w:bCs/>
        </w:rPr>
        <w:t>）项目技术方案与实施内容</w:t>
      </w:r>
    </w:p>
    <w:p>
      <w:pPr>
        <w:spacing w:line="592" w:lineRule="exact"/>
        <w:ind w:firstLine="640" w:firstLineChars="200"/>
        <w:rPr>
          <w:bCs/>
        </w:rPr>
      </w:pPr>
      <w:r>
        <w:rPr>
          <w:bCs/>
        </w:rPr>
        <w:t>（</w:t>
      </w:r>
      <w:r>
        <w:rPr>
          <w:rFonts w:hint="eastAsia"/>
          <w:bCs/>
        </w:rPr>
        <w:t>二</w:t>
      </w:r>
      <w:r>
        <w:rPr>
          <w:bCs/>
        </w:rPr>
        <w:t>）项目实施成效（</w:t>
      </w:r>
      <w:r>
        <w:rPr>
          <w:rFonts w:hint="eastAsia"/>
          <w:bCs/>
        </w:rPr>
        <w:t>项目主要解决的问题，</w:t>
      </w:r>
      <w:r>
        <w:rPr>
          <w:bCs/>
        </w:rPr>
        <w:t>项目实施前与实施后效果比较）</w:t>
      </w:r>
    </w:p>
    <w:p>
      <w:pPr>
        <w:spacing w:line="592" w:lineRule="exact"/>
        <w:ind w:firstLine="642" w:firstLineChars="200"/>
        <w:outlineLvl w:val="0"/>
        <w:rPr>
          <w:b/>
        </w:rPr>
      </w:pPr>
      <w:r>
        <w:rPr>
          <w:b/>
        </w:rPr>
        <w:t>四、示范作用</w:t>
      </w:r>
    </w:p>
    <w:p>
      <w:pPr>
        <w:spacing w:line="592" w:lineRule="exact"/>
        <w:ind w:firstLine="420"/>
      </w:pPr>
      <w:r>
        <w:rPr>
          <w:bCs/>
        </w:rPr>
        <w:t>（</w:t>
      </w:r>
      <w:r>
        <w:rPr>
          <w:rFonts w:hint="eastAsia"/>
          <w:bCs/>
        </w:rPr>
        <w:t>突出项目实施中的典型经验和做法，对相关行业、相关区域、典型场景开展的可复制性和示范价值，项目产生的社会效益和经济效益，以及</w:t>
      </w:r>
      <w:r>
        <w:t>实际应用案例</w:t>
      </w:r>
      <w:r>
        <w:rPr>
          <w:rFonts w:hint="eastAsia"/>
          <w:bCs/>
        </w:rPr>
        <w:t>。</w:t>
      </w:r>
      <w:r>
        <w:rPr>
          <w:bCs/>
        </w:rPr>
        <w:t>）</w:t>
      </w:r>
    </w:p>
    <w:p>
      <w:pPr>
        <w:spacing w:line="592" w:lineRule="exact"/>
        <w:ind w:firstLine="642" w:firstLineChars="200"/>
        <w:outlineLvl w:val="0"/>
        <w:rPr>
          <w:b/>
        </w:rPr>
      </w:pPr>
      <w:r>
        <w:rPr>
          <w:b/>
        </w:rPr>
        <w:t>五、未来展望</w:t>
      </w:r>
    </w:p>
    <w:p>
      <w:pPr>
        <w:spacing w:line="592" w:lineRule="exact"/>
        <w:ind w:firstLine="640" w:firstLineChars="200"/>
        <w:rPr>
          <w:bCs/>
        </w:rPr>
      </w:pPr>
      <w:r>
        <w:rPr>
          <w:kern w:val="0"/>
        </w:rPr>
        <w:t>（进一步推进方向与思路）</w:t>
      </w:r>
    </w:p>
    <w:p>
      <w:pPr>
        <w:spacing w:line="592" w:lineRule="exact"/>
        <w:ind w:firstLine="642" w:firstLineChars="200"/>
        <w:outlineLvl w:val="0"/>
        <w:rPr>
          <w:b/>
        </w:rPr>
      </w:pPr>
      <w:r>
        <w:rPr>
          <w:b/>
        </w:rPr>
        <w:t>六、相关附件</w:t>
      </w:r>
    </w:p>
    <w:p>
      <w:pPr>
        <w:spacing w:line="592" w:lineRule="exact"/>
        <w:ind w:firstLine="640" w:firstLineChars="200"/>
        <w:rPr>
          <w:bCs/>
        </w:rPr>
      </w:pPr>
      <w:r>
        <w:rPr>
          <w:bCs/>
        </w:rPr>
        <w:t>企业专利、获奖证书</w:t>
      </w:r>
      <w:r>
        <w:rPr>
          <w:rFonts w:hint="eastAsia"/>
          <w:bCs/>
          <w:lang w:eastAsia="zh-CN"/>
        </w:rPr>
        <w:t>；</w:t>
      </w:r>
      <w:r>
        <w:rPr>
          <w:rFonts w:hint="eastAsia"/>
          <w:bCs/>
        </w:rPr>
        <w:t>推广效果应用</w:t>
      </w:r>
      <w:r>
        <w:rPr>
          <w:rFonts w:hint="eastAsia"/>
          <w:bCs/>
          <w:lang w:eastAsia="zh-CN"/>
        </w:rPr>
        <w:t>等</w:t>
      </w:r>
      <w:r>
        <w:rPr>
          <w:rFonts w:hint="eastAsia"/>
          <w:bCs/>
        </w:rPr>
        <w:t>证明</w:t>
      </w:r>
      <w:r>
        <w:rPr>
          <w:bCs/>
        </w:rPr>
        <w:t>材料（复印件）</w:t>
      </w:r>
    </w:p>
    <w:p>
      <w:pPr>
        <w:spacing w:line="592" w:lineRule="exact"/>
        <w:ind w:firstLine="640" w:firstLineChars="200"/>
        <w:rPr>
          <w:bCs/>
        </w:rPr>
      </w:pPr>
      <w:r>
        <w:rPr>
          <w:bCs/>
        </w:rPr>
        <w:t>（填报格式说明：请用A4幅面编辑，正文字体为3号仿宋体，单倍行距。一级标题3号黑体，二级标题3号</w:t>
      </w:r>
      <w:bookmarkStart w:id="0" w:name="_GoBack"/>
      <w:bookmarkEnd w:id="0"/>
      <w:r>
        <w:rPr>
          <w:bCs/>
        </w:rPr>
        <w:t>楷体GB_2312。）</w:t>
      </w:r>
    </w:p>
    <w:sectPr>
      <w:footerReference r:id="rId4" w:type="default"/>
      <w:pgSz w:w="11906" w:h="16838"/>
      <w:pgMar w:top="1797" w:right="1440" w:bottom="1797" w:left="144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17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0B"/>
    <w:rsid w:val="00003197"/>
    <w:rsid w:val="0000530C"/>
    <w:rsid w:val="00006192"/>
    <w:rsid w:val="00010DE0"/>
    <w:rsid w:val="00017178"/>
    <w:rsid w:val="0002507D"/>
    <w:rsid w:val="00027C07"/>
    <w:rsid w:val="000311C9"/>
    <w:rsid w:val="00034A46"/>
    <w:rsid w:val="00043F38"/>
    <w:rsid w:val="00052CC7"/>
    <w:rsid w:val="00056C74"/>
    <w:rsid w:val="00057ADB"/>
    <w:rsid w:val="00064A4D"/>
    <w:rsid w:val="000673A2"/>
    <w:rsid w:val="00073DB7"/>
    <w:rsid w:val="00077D97"/>
    <w:rsid w:val="000901B3"/>
    <w:rsid w:val="000A294B"/>
    <w:rsid w:val="000A2E29"/>
    <w:rsid w:val="000B3481"/>
    <w:rsid w:val="000B4E03"/>
    <w:rsid w:val="000C3396"/>
    <w:rsid w:val="000C58C3"/>
    <w:rsid w:val="000D6D89"/>
    <w:rsid w:val="000D739A"/>
    <w:rsid w:val="000E0932"/>
    <w:rsid w:val="000E1761"/>
    <w:rsid w:val="000E2736"/>
    <w:rsid w:val="000F1951"/>
    <w:rsid w:val="000F7B97"/>
    <w:rsid w:val="001066FD"/>
    <w:rsid w:val="0012445C"/>
    <w:rsid w:val="0012553F"/>
    <w:rsid w:val="0013052B"/>
    <w:rsid w:val="0014366C"/>
    <w:rsid w:val="00146B79"/>
    <w:rsid w:val="001572E0"/>
    <w:rsid w:val="0016484A"/>
    <w:rsid w:val="0016585A"/>
    <w:rsid w:val="001710BC"/>
    <w:rsid w:val="00177F4F"/>
    <w:rsid w:val="00192538"/>
    <w:rsid w:val="00193877"/>
    <w:rsid w:val="001B24FC"/>
    <w:rsid w:val="001C41B9"/>
    <w:rsid w:val="001C44E3"/>
    <w:rsid w:val="001C47A6"/>
    <w:rsid w:val="001D547E"/>
    <w:rsid w:val="001E4258"/>
    <w:rsid w:val="001E66C8"/>
    <w:rsid w:val="001F0E08"/>
    <w:rsid w:val="001F28DB"/>
    <w:rsid w:val="001F6759"/>
    <w:rsid w:val="002005A5"/>
    <w:rsid w:val="0020531A"/>
    <w:rsid w:val="00213BDE"/>
    <w:rsid w:val="0022200A"/>
    <w:rsid w:val="002301DA"/>
    <w:rsid w:val="00233D22"/>
    <w:rsid w:val="00240BD5"/>
    <w:rsid w:val="0024678D"/>
    <w:rsid w:val="00250C72"/>
    <w:rsid w:val="00251C88"/>
    <w:rsid w:val="002606EE"/>
    <w:rsid w:val="00261A53"/>
    <w:rsid w:val="00275CE1"/>
    <w:rsid w:val="00282B60"/>
    <w:rsid w:val="00283085"/>
    <w:rsid w:val="00284268"/>
    <w:rsid w:val="00292EF1"/>
    <w:rsid w:val="00294A85"/>
    <w:rsid w:val="00296916"/>
    <w:rsid w:val="002A2C36"/>
    <w:rsid w:val="002A3538"/>
    <w:rsid w:val="002C08EA"/>
    <w:rsid w:val="002C263D"/>
    <w:rsid w:val="002C50F0"/>
    <w:rsid w:val="002D6401"/>
    <w:rsid w:val="002D7A28"/>
    <w:rsid w:val="002E3F83"/>
    <w:rsid w:val="002E4F25"/>
    <w:rsid w:val="002F16E2"/>
    <w:rsid w:val="002F247A"/>
    <w:rsid w:val="002F48B8"/>
    <w:rsid w:val="002F56BC"/>
    <w:rsid w:val="002F724E"/>
    <w:rsid w:val="00310EFA"/>
    <w:rsid w:val="00312E38"/>
    <w:rsid w:val="003227C2"/>
    <w:rsid w:val="00332447"/>
    <w:rsid w:val="00351230"/>
    <w:rsid w:val="00363A89"/>
    <w:rsid w:val="00377786"/>
    <w:rsid w:val="003803C7"/>
    <w:rsid w:val="00382FC6"/>
    <w:rsid w:val="003B1319"/>
    <w:rsid w:val="003B4F1B"/>
    <w:rsid w:val="003B7CFE"/>
    <w:rsid w:val="003C1608"/>
    <w:rsid w:val="003C3B29"/>
    <w:rsid w:val="003C631A"/>
    <w:rsid w:val="003C7258"/>
    <w:rsid w:val="003C7CEA"/>
    <w:rsid w:val="003D28F2"/>
    <w:rsid w:val="003F379A"/>
    <w:rsid w:val="003F58F6"/>
    <w:rsid w:val="00400393"/>
    <w:rsid w:val="00416DEB"/>
    <w:rsid w:val="00440D0B"/>
    <w:rsid w:val="00441BE2"/>
    <w:rsid w:val="0044487F"/>
    <w:rsid w:val="00450377"/>
    <w:rsid w:val="00457BC7"/>
    <w:rsid w:val="00461C1E"/>
    <w:rsid w:val="00482C00"/>
    <w:rsid w:val="00491509"/>
    <w:rsid w:val="00491F29"/>
    <w:rsid w:val="004A4AD3"/>
    <w:rsid w:val="004C33AF"/>
    <w:rsid w:val="004C59CC"/>
    <w:rsid w:val="004C6FF8"/>
    <w:rsid w:val="004D70D7"/>
    <w:rsid w:val="005047AC"/>
    <w:rsid w:val="005208A9"/>
    <w:rsid w:val="005218C5"/>
    <w:rsid w:val="005246E4"/>
    <w:rsid w:val="005259F3"/>
    <w:rsid w:val="00532A30"/>
    <w:rsid w:val="00547278"/>
    <w:rsid w:val="00553D89"/>
    <w:rsid w:val="00556D1F"/>
    <w:rsid w:val="00567A52"/>
    <w:rsid w:val="005704B2"/>
    <w:rsid w:val="00581A63"/>
    <w:rsid w:val="005919B4"/>
    <w:rsid w:val="00596DC6"/>
    <w:rsid w:val="005B0720"/>
    <w:rsid w:val="005B0AC7"/>
    <w:rsid w:val="005B1D34"/>
    <w:rsid w:val="005B53EF"/>
    <w:rsid w:val="005C19F5"/>
    <w:rsid w:val="005C270A"/>
    <w:rsid w:val="005C5433"/>
    <w:rsid w:val="005D2089"/>
    <w:rsid w:val="005E0AFA"/>
    <w:rsid w:val="005E1B82"/>
    <w:rsid w:val="005F0F0D"/>
    <w:rsid w:val="005F374D"/>
    <w:rsid w:val="00630075"/>
    <w:rsid w:val="00634612"/>
    <w:rsid w:val="00637616"/>
    <w:rsid w:val="0064073C"/>
    <w:rsid w:val="00645187"/>
    <w:rsid w:val="006467E5"/>
    <w:rsid w:val="006475D2"/>
    <w:rsid w:val="00660C01"/>
    <w:rsid w:val="006637BF"/>
    <w:rsid w:val="006647C6"/>
    <w:rsid w:val="0067006F"/>
    <w:rsid w:val="00672824"/>
    <w:rsid w:val="006730E6"/>
    <w:rsid w:val="006745ED"/>
    <w:rsid w:val="0067463D"/>
    <w:rsid w:val="0069414F"/>
    <w:rsid w:val="00694CE1"/>
    <w:rsid w:val="006C3016"/>
    <w:rsid w:val="006C65B4"/>
    <w:rsid w:val="006D023A"/>
    <w:rsid w:val="006D32EA"/>
    <w:rsid w:val="006D5FE8"/>
    <w:rsid w:val="006E206B"/>
    <w:rsid w:val="006E36E9"/>
    <w:rsid w:val="006F2474"/>
    <w:rsid w:val="006F2AD2"/>
    <w:rsid w:val="007005C5"/>
    <w:rsid w:val="00701674"/>
    <w:rsid w:val="00713413"/>
    <w:rsid w:val="0071551A"/>
    <w:rsid w:val="00723243"/>
    <w:rsid w:val="00725BB9"/>
    <w:rsid w:val="00736CC1"/>
    <w:rsid w:val="007551A0"/>
    <w:rsid w:val="00756ED3"/>
    <w:rsid w:val="007650B4"/>
    <w:rsid w:val="00765A74"/>
    <w:rsid w:val="007752FF"/>
    <w:rsid w:val="00780217"/>
    <w:rsid w:val="00781D54"/>
    <w:rsid w:val="00784D5F"/>
    <w:rsid w:val="00784F6F"/>
    <w:rsid w:val="0078515F"/>
    <w:rsid w:val="00785625"/>
    <w:rsid w:val="007B2588"/>
    <w:rsid w:val="007D052D"/>
    <w:rsid w:val="007D1259"/>
    <w:rsid w:val="007D6583"/>
    <w:rsid w:val="007F2B99"/>
    <w:rsid w:val="007F69E1"/>
    <w:rsid w:val="007F7B26"/>
    <w:rsid w:val="00802532"/>
    <w:rsid w:val="0080653B"/>
    <w:rsid w:val="0080761E"/>
    <w:rsid w:val="008121DB"/>
    <w:rsid w:val="008169E0"/>
    <w:rsid w:val="008223C2"/>
    <w:rsid w:val="0084336D"/>
    <w:rsid w:val="00847089"/>
    <w:rsid w:val="00856ED6"/>
    <w:rsid w:val="008572AA"/>
    <w:rsid w:val="008645E2"/>
    <w:rsid w:val="00875CD7"/>
    <w:rsid w:val="00876617"/>
    <w:rsid w:val="0089225F"/>
    <w:rsid w:val="00894BDD"/>
    <w:rsid w:val="00895D7A"/>
    <w:rsid w:val="008A07DA"/>
    <w:rsid w:val="008A1126"/>
    <w:rsid w:val="008A7DFA"/>
    <w:rsid w:val="008C1FB9"/>
    <w:rsid w:val="008C40D8"/>
    <w:rsid w:val="008D7C1E"/>
    <w:rsid w:val="008E47C3"/>
    <w:rsid w:val="008E4DD0"/>
    <w:rsid w:val="008E68BF"/>
    <w:rsid w:val="008E7566"/>
    <w:rsid w:val="00902066"/>
    <w:rsid w:val="009101E5"/>
    <w:rsid w:val="00910F30"/>
    <w:rsid w:val="00914D7F"/>
    <w:rsid w:val="00920E53"/>
    <w:rsid w:val="00931095"/>
    <w:rsid w:val="00933E03"/>
    <w:rsid w:val="009440D0"/>
    <w:rsid w:val="00952DA6"/>
    <w:rsid w:val="00963139"/>
    <w:rsid w:val="00974C0B"/>
    <w:rsid w:val="009810D7"/>
    <w:rsid w:val="009820AF"/>
    <w:rsid w:val="009A3515"/>
    <w:rsid w:val="009A51D0"/>
    <w:rsid w:val="009B2305"/>
    <w:rsid w:val="009D46AC"/>
    <w:rsid w:val="009D5BA5"/>
    <w:rsid w:val="009E5B44"/>
    <w:rsid w:val="009E69C1"/>
    <w:rsid w:val="009F651F"/>
    <w:rsid w:val="00A23E91"/>
    <w:rsid w:val="00A3539C"/>
    <w:rsid w:val="00A368D9"/>
    <w:rsid w:val="00A530F5"/>
    <w:rsid w:val="00A55222"/>
    <w:rsid w:val="00A670EB"/>
    <w:rsid w:val="00A72252"/>
    <w:rsid w:val="00A74CA0"/>
    <w:rsid w:val="00A8125D"/>
    <w:rsid w:val="00A8564E"/>
    <w:rsid w:val="00A90CFC"/>
    <w:rsid w:val="00A94E4B"/>
    <w:rsid w:val="00A95739"/>
    <w:rsid w:val="00A969FF"/>
    <w:rsid w:val="00A97B37"/>
    <w:rsid w:val="00AA1A7D"/>
    <w:rsid w:val="00AB2747"/>
    <w:rsid w:val="00AC29EC"/>
    <w:rsid w:val="00AC3E5E"/>
    <w:rsid w:val="00AC49D8"/>
    <w:rsid w:val="00AC5846"/>
    <w:rsid w:val="00AD0FDC"/>
    <w:rsid w:val="00AD28DC"/>
    <w:rsid w:val="00AD562D"/>
    <w:rsid w:val="00AD566C"/>
    <w:rsid w:val="00AE0413"/>
    <w:rsid w:val="00AE1F59"/>
    <w:rsid w:val="00AE395C"/>
    <w:rsid w:val="00AF79A0"/>
    <w:rsid w:val="00AF7CBE"/>
    <w:rsid w:val="00B03B81"/>
    <w:rsid w:val="00B122C7"/>
    <w:rsid w:val="00B161E0"/>
    <w:rsid w:val="00B17F9C"/>
    <w:rsid w:val="00B20799"/>
    <w:rsid w:val="00B222AC"/>
    <w:rsid w:val="00B264BC"/>
    <w:rsid w:val="00B358AC"/>
    <w:rsid w:val="00B42784"/>
    <w:rsid w:val="00B4704C"/>
    <w:rsid w:val="00B535F7"/>
    <w:rsid w:val="00B621BF"/>
    <w:rsid w:val="00B64DCE"/>
    <w:rsid w:val="00B659EE"/>
    <w:rsid w:val="00B71980"/>
    <w:rsid w:val="00B80B9A"/>
    <w:rsid w:val="00B81EED"/>
    <w:rsid w:val="00B86561"/>
    <w:rsid w:val="00B9138B"/>
    <w:rsid w:val="00B959A6"/>
    <w:rsid w:val="00B95FB5"/>
    <w:rsid w:val="00B9731D"/>
    <w:rsid w:val="00BA4454"/>
    <w:rsid w:val="00BB3AAC"/>
    <w:rsid w:val="00BD6A00"/>
    <w:rsid w:val="00BD78FD"/>
    <w:rsid w:val="00BE01ED"/>
    <w:rsid w:val="00BE0949"/>
    <w:rsid w:val="00BE0C7C"/>
    <w:rsid w:val="00BE2523"/>
    <w:rsid w:val="00BE4C20"/>
    <w:rsid w:val="00BE54FD"/>
    <w:rsid w:val="00BF12C8"/>
    <w:rsid w:val="00BF258D"/>
    <w:rsid w:val="00BF4104"/>
    <w:rsid w:val="00BF5F0E"/>
    <w:rsid w:val="00C021C6"/>
    <w:rsid w:val="00C12511"/>
    <w:rsid w:val="00C21996"/>
    <w:rsid w:val="00C2364B"/>
    <w:rsid w:val="00C30687"/>
    <w:rsid w:val="00C3676A"/>
    <w:rsid w:val="00C377D5"/>
    <w:rsid w:val="00C410A2"/>
    <w:rsid w:val="00C4195F"/>
    <w:rsid w:val="00C5352B"/>
    <w:rsid w:val="00C601AC"/>
    <w:rsid w:val="00C6224B"/>
    <w:rsid w:val="00C643EE"/>
    <w:rsid w:val="00C65BF6"/>
    <w:rsid w:val="00C66705"/>
    <w:rsid w:val="00C7462D"/>
    <w:rsid w:val="00C752F5"/>
    <w:rsid w:val="00C82A9D"/>
    <w:rsid w:val="00C858AE"/>
    <w:rsid w:val="00C86C19"/>
    <w:rsid w:val="00C87D57"/>
    <w:rsid w:val="00C92975"/>
    <w:rsid w:val="00C93EBD"/>
    <w:rsid w:val="00CD58A0"/>
    <w:rsid w:val="00CD7E39"/>
    <w:rsid w:val="00CE4DFF"/>
    <w:rsid w:val="00CF334A"/>
    <w:rsid w:val="00CF4243"/>
    <w:rsid w:val="00CF5DE6"/>
    <w:rsid w:val="00D112D2"/>
    <w:rsid w:val="00D1184F"/>
    <w:rsid w:val="00D13988"/>
    <w:rsid w:val="00D20F44"/>
    <w:rsid w:val="00D349AE"/>
    <w:rsid w:val="00D361EC"/>
    <w:rsid w:val="00D36BCB"/>
    <w:rsid w:val="00D421F9"/>
    <w:rsid w:val="00D50B09"/>
    <w:rsid w:val="00D50D11"/>
    <w:rsid w:val="00D75CE1"/>
    <w:rsid w:val="00D77DE7"/>
    <w:rsid w:val="00D90959"/>
    <w:rsid w:val="00D91F1B"/>
    <w:rsid w:val="00D953F4"/>
    <w:rsid w:val="00D972F2"/>
    <w:rsid w:val="00DA1F4B"/>
    <w:rsid w:val="00DB7A3C"/>
    <w:rsid w:val="00DC6F85"/>
    <w:rsid w:val="00DD14CE"/>
    <w:rsid w:val="00DF428C"/>
    <w:rsid w:val="00DF7AA7"/>
    <w:rsid w:val="00E14143"/>
    <w:rsid w:val="00E20C97"/>
    <w:rsid w:val="00E22B82"/>
    <w:rsid w:val="00E2472C"/>
    <w:rsid w:val="00E26DD0"/>
    <w:rsid w:val="00E371AE"/>
    <w:rsid w:val="00E426CF"/>
    <w:rsid w:val="00E441BB"/>
    <w:rsid w:val="00E51981"/>
    <w:rsid w:val="00E60A0B"/>
    <w:rsid w:val="00E7230C"/>
    <w:rsid w:val="00E728EE"/>
    <w:rsid w:val="00E85D03"/>
    <w:rsid w:val="00EA13F4"/>
    <w:rsid w:val="00EA3A9A"/>
    <w:rsid w:val="00EA65F3"/>
    <w:rsid w:val="00EB005B"/>
    <w:rsid w:val="00EC19FF"/>
    <w:rsid w:val="00EC75BB"/>
    <w:rsid w:val="00ED0989"/>
    <w:rsid w:val="00ED1891"/>
    <w:rsid w:val="00EE660C"/>
    <w:rsid w:val="00EE6887"/>
    <w:rsid w:val="00EE7F95"/>
    <w:rsid w:val="00EF0705"/>
    <w:rsid w:val="00EF5EC4"/>
    <w:rsid w:val="00F049FC"/>
    <w:rsid w:val="00F11D6C"/>
    <w:rsid w:val="00F13905"/>
    <w:rsid w:val="00F15051"/>
    <w:rsid w:val="00F16060"/>
    <w:rsid w:val="00F2207B"/>
    <w:rsid w:val="00F23FFB"/>
    <w:rsid w:val="00F26563"/>
    <w:rsid w:val="00F42C98"/>
    <w:rsid w:val="00F45087"/>
    <w:rsid w:val="00F45212"/>
    <w:rsid w:val="00F4677E"/>
    <w:rsid w:val="00F5680E"/>
    <w:rsid w:val="00F56EA5"/>
    <w:rsid w:val="00F62FAB"/>
    <w:rsid w:val="00F63C12"/>
    <w:rsid w:val="00F65B7B"/>
    <w:rsid w:val="00F71626"/>
    <w:rsid w:val="00F72125"/>
    <w:rsid w:val="00F735BF"/>
    <w:rsid w:val="00F82F3D"/>
    <w:rsid w:val="00F84E66"/>
    <w:rsid w:val="00F919BB"/>
    <w:rsid w:val="00F935E0"/>
    <w:rsid w:val="00FA19C0"/>
    <w:rsid w:val="00FA43A9"/>
    <w:rsid w:val="00FB19AC"/>
    <w:rsid w:val="00FB7040"/>
    <w:rsid w:val="00FC3EAE"/>
    <w:rsid w:val="00FC785F"/>
    <w:rsid w:val="00FC794C"/>
    <w:rsid w:val="00FD6D5F"/>
    <w:rsid w:val="00FE79DC"/>
    <w:rsid w:val="00FF0175"/>
    <w:rsid w:val="00FF14AE"/>
    <w:rsid w:val="00FF3760"/>
    <w:rsid w:val="5AD8FEF6"/>
    <w:rsid w:val="6D88E997"/>
    <w:rsid w:val="6DDBA264"/>
    <w:rsid w:val="6DFF7428"/>
    <w:rsid w:val="97ED73EF"/>
    <w:rsid w:val="BED9261B"/>
    <w:rsid w:val="BEFF074E"/>
    <w:rsid w:val="BF7625AD"/>
    <w:rsid w:val="CB6BFA40"/>
    <w:rsid w:val="EFBFDCFB"/>
    <w:rsid w:val="EFFC21EE"/>
    <w:rsid w:val="F8E79AF4"/>
    <w:rsid w:val="FB3A2107"/>
    <w:rsid w:val="FDBEDD8B"/>
    <w:rsid w:val="FE1DFBE7"/>
    <w:rsid w:val="FF6F1DE9"/>
    <w:rsid w:val="FFAB2220"/>
    <w:rsid w:val="FFED0C4B"/>
    <w:rsid w:val="FFFF9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Theme="minorHAnsi" w:hAnsiTheme="minorHAnsi" w:cstheme="minorBidi"/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8"/>
    <w:unhideWhenUsed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9">
    <w:name w:val="Body Text First Indent 2"/>
    <w:basedOn w:val="4"/>
    <w:link w:val="19"/>
    <w:unhideWhenUsed/>
    <w:qFormat/>
    <w:uiPriority w:val="0"/>
    <w:pPr>
      <w:ind w:left="200" w:firstLine="20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2">
    <w:name w:val="页眉 Char"/>
    <w:basedOn w:val="11"/>
    <w:link w:val="7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Char"/>
    <w:basedOn w:val="1"/>
    <w:qFormat/>
    <w:uiPriority w:val="0"/>
    <w:pPr>
      <w:spacing w:line="360" w:lineRule="auto"/>
    </w:pPr>
    <w:rPr>
      <w:rFonts w:ascii="仿宋_GB2312" w:eastAsia="宋体"/>
      <w:b/>
      <w:sz w:val="21"/>
      <w:szCs w:val="21"/>
    </w:rPr>
  </w:style>
  <w:style w:type="character" w:customStyle="1" w:styleId="16">
    <w:name w:val="标题 3 Char"/>
    <w:basedOn w:val="11"/>
    <w:link w:val="2"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8">
    <w:name w:val="正文文本缩进 Char"/>
    <w:basedOn w:val="11"/>
    <w:link w:val="4"/>
    <w:semiHidden/>
    <w:qFormat/>
    <w:uiPriority w:val="99"/>
    <w:rPr>
      <w:rFonts w:ascii="Times New Roman" w:hAnsi="Times New Roman" w:eastAsia="仿宋_GB2312" w:cs="Times New Roman"/>
      <w:kern w:val="2"/>
      <w:sz w:val="32"/>
      <w:szCs w:val="32"/>
    </w:rPr>
  </w:style>
  <w:style w:type="character" w:customStyle="1" w:styleId="19">
    <w:name w:val="正文首行缩进 2 Char"/>
    <w:basedOn w:val="18"/>
    <w:link w:val="9"/>
    <w:qFormat/>
    <w:uiPriority w:val="0"/>
    <w:rPr>
      <w:rFonts w:ascii="Times New Roman" w:hAnsi="Times New Roman" w:eastAsia="仿宋_GB2312" w:cs="Times New Roman"/>
      <w:kern w:val="2"/>
      <w:sz w:val="21"/>
      <w:szCs w:val="22"/>
    </w:rPr>
  </w:style>
  <w:style w:type="paragraph" w:customStyle="1" w:styleId="20">
    <w:name w:val="正文_0"/>
    <w:basedOn w:val="1"/>
    <w:qFormat/>
    <w:uiPriority w:val="0"/>
    <w:rPr>
      <w:rFonts w:eastAsia="宋体"/>
      <w:sz w:val="21"/>
      <w:szCs w:val="22"/>
    </w:rPr>
  </w:style>
  <w:style w:type="character" w:customStyle="1" w:styleId="21">
    <w:name w:val="正文文本 Char"/>
    <w:basedOn w:val="11"/>
    <w:link w:val="3"/>
    <w:semiHidden/>
    <w:qFormat/>
    <w:uiPriority w:val="99"/>
    <w:rPr>
      <w:rFonts w:ascii="Times New Roman" w:hAnsi="Times New Roman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804</Words>
  <Characters>4587</Characters>
  <Lines>38</Lines>
  <Paragraphs>10</Paragraphs>
  <TotalTime>0</TotalTime>
  <ScaleCrop>false</ScaleCrop>
  <LinksUpToDate>false</LinksUpToDate>
  <CharactersWithSpaces>5381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2022-04-14T09:50:00Z</dcterms:created>
  <dc:creator>王怡伟</dc:creator>
  <cp:lastModifiedBy>uos</cp:lastModifiedBy>
  <cp:lastPrinted>2022-09-02T10:07:00Z</cp:lastPrinted>
  <dcterms:modified xsi:type="dcterms:W3CDTF">2023-09-25T15:00:05Z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